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8196F" w14:textId="4F392906"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E522D0" w:rsidRPr="00E522D0">
        <w:rPr>
          <w:rFonts w:ascii="Arial" w:eastAsia="SimSun" w:hAnsi="Arial" w:cs="Times New Roman"/>
          <w:b/>
          <w:bCs/>
          <w:sz w:val="24"/>
          <w:szCs w:val="20"/>
          <w:lang w:val="en-US" w:eastAsia="ja-JP"/>
        </w:rPr>
        <w:t>R4-2416190</w:t>
      </w:r>
    </w:p>
    <w:p w14:paraId="7BE4A491"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D8A4896"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D0F6A5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36FB997" w14:textId="6B51188F"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D4973">
        <w:rPr>
          <w:rFonts w:ascii="Arial" w:eastAsia="Calibri" w:hAnsi="Arial" w:cs="Arial"/>
          <w:b/>
          <w:bCs/>
          <w:sz w:val="24"/>
          <w:lang w:val="en-US"/>
        </w:rPr>
        <w:t>Discussing general RRM requirements for Rel-19 WI</w:t>
      </w:r>
      <w:r w:rsidR="000A1646">
        <w:rPr>
          <w:rFonts w:ascii="Arial" w:eastAsia="Calibri" w:hAnsi="Arial" w:cs="Arial"/>
          <w:b/>
          <w:bCs/>
          <w:sz w:val="24"/>
          <w:lang w:val="en-US"/>
        </w:rPr>
        <w:t xml:space="preserve"> and LS Reply to RAN2</w:t>
      </w:r>
    </w:p>
    <w:p w14:paraId="102FA6DB" w14:textId="30F4C499" w:rsidR="00841BCD" w:rsidRPr="009D4973" w:rsidRDefault="00841BCD" w:rsidP="00841BCD">
      <w:pPr>
        <w:tabs>
          <w:tab w:val="left" w:pos="1985"/>
        </w:tabs>
        <w:spacing w:after="120" w:line="240" w:lineRule="auto"/>
        <w:rPr>
          <w:rFonts w:ascii="Arial" w:eastAsia="MS Mincho" w:hAnsi="Arial" w:cs="Arial"/>
          <w:b/>
          <w:bCs/>
          <w:sz w:val="24"/>
          <w:szCs w:val="20"/>
          <w:lang w:val="pt-BR"/>
        </w:rPr>
      </w:pPr>
      <w:r w:rsidRPr="009D4973">
        <w:rPr>
          <w:rFonts w:ascii="Arial" w:eastAsia="MS Mincho" w:hAnsi="Arial" w:cs="Arial"/>
          <w:b/>
          <w:bCs/>
          <w:sz w:val="24"/>
          <w:szCs w:val="20"/>
          <w:lang w:val="pt-BR"/>
        </w:rPr>
        <w:t>Agenda item:</w:t>
      </w:r>
      <w:r w:rsidRPr="009D4973">
        <w:rPr>
          <w:rFonts w:ascii="Arial" w:eastAsia="MS Mincho" w:hAnsi="Arial" w:cs="Arial"/>
          <w:b/>
          <w:bCs/>
          <w:sz w:val="24"/>
          <w:szCs w:val="20"/>
          <w:lang w:val="pt-BR"/>
        </w:rPr>
        <w:tab/>
      </w:r>
      <w:r w:rsidR="00E522D0" w:rsidRPr="00E522D0">
        <w:rPr>
          <w:rFonts w:ascii="Arial" w:eastAsia="MS Mincho" w:hAnsi="Arial" w:cs="Arial"/>
          <w:b/>
          <w:bCs/>
          <w:sz w:val="24"/>
          <w:szCs w:val="20"/>
          <w:lang w:val="pt-BR"/>
        </w:rPr>
        <w:t>6.26.4.2</w:t>
      </w:r>
    </w:p>
    <w:p w14:paraId="0F20E09A" w14:textId="77777777" w:rsidR="00D66188" w:rsidRPr="00771D2E" w:rsidRDefault="00841BCD" w:rsidP="00841BCD">
      <w:pPr>
        <w:tabs>
          <w:tab w:val="left" w:pos="1985"/>
        </w:tabs>
        <w:rPr>
          <w:rFonts w:ascii="Arial" w:eastAsia="Calibri" w:hAnsi="Arial" w:cs="Arial"/>
          <w:b/>
          <w:bCs/>
          <w:sz w:val="24"/>
          <w:lang w:val="pt-BR"/>
        </w:rPr>
      </w:pPr>
      <w:proofErr w:type="spellStart"/>
      <w:r w:rsidRPr="00771D2E">
        <w:rPr>
          <w:rFonts w:ascii="Arial" w:eastAsia="Calibri" w:hAnsi="Arial" w:cs="Arial"/>
          <w:b/>
          <w:bCs/>
          <w:sz w:val="24"/>
          <w:lang w:val="pt-BR"/>
        </w:rPr>
        <w:t>Document</w:t>
      </w:r>
      <w:proofErr w:type="spellEnd"/>
      <w:r w:rsidRPr="00771D2E">
        <w:rPr>
          <w:rFonts w:ascii="Arial" w:eastAsia="Calibri" w:hAnsi="Arial" w:cs="Arial"/>
          <w:b/>
          <w:bCs/>
          <w:sz w:val="24"/>
          <w:lang w:val="pt-BR"/>
        </w:rPr>
        <w:t xml:space="preserve"> for:</w:t>
      </w:r>
      <w:r w:rsidRPr="00771D2E">
        <w:rPr>
          <w:rFonts w:ascii="Arial" w:eastAsia="Calibri" w:hAnsi="Arial" w:cs="Arial"/>
          <w:b/>
          <w:bCs/>
          <w:sz w:val="24"/>
          <w:lang w:val="pt-BR"/>
        </w:rPr>
        <w:tab/>
      </w:r>
      <w:proofErr w:type="spellStart"/>
      <w:r w:rsidR="00AE6D09" w:rsidRPr="00771D2E">
        <w:rPr>
          <w:rFonts w:ascii="Arial" w:eastAsia="Calibri" w:hAnsi="Arial" w:cs="Arial"/>
          <w:b/>
          <w:bCs/>
          <w:sz w:val="24"/>
          <w:lang w:val="pt-BR"/>
        </w:rPr>
        <w:t>Discussion</w:t>
      </w:r>
      <w:proofErr w:type="spellEnd"/>
    </w:p>
    <w:p w14:paraId="7B551A88" w14:textId="77777777" w:rsidR="00E323E9" w:rsidRPr="00771D2E" w:rsidRDefault="00E323E9" w:rsidP="00841BCD">
      <w:pPr>
        <w:tabs>
          <w:tab w:val="left" w:pos="1985"/>
        </w:tabs>
        <w:rPr>
          <w:rFonts w:ascii="Arial" w:eastAsia="Calibri" w:hAnsi="Arial" w:cs="Arial"/>
          <w:b/>
          <w:bCs/>
          <w:sz w:val="24"/>
          <w:lang w:val="pt-BR"/>
        </w:rPr>
      </w:pPr>
    </w:p>
    <w:p w14:paraId="0AE7C22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1017A0" w14:textId="26C20E02" w:rsidR="00381F95" w:rsidRDefault="00E42B45" w:rsidP="005C23A4">
      <w:pPr>
        <w:rPr>
          <w:lang w:val="en-US"/>
        </w:rPr>
      </w:pPr>
      <w:r>
        <w:rPr>
          <w:lang w:val="en-US"/>
        </w:rPr>
        <w:t xml:space="preserve">In </w:t>
      </w:r>
      <w:r>
        <w:rPr>
          <w:lang w:val="en-US"/>
        </w:rPr>
        <w:fldChar w:fldCharType="begin"/>
      </w:r>
      <w:r>
        <w:rPr>
          <w:lang w:val="en-US"/>
        </w:rPr>
        <w:instrText xml:space="preserve"> REF _Ref178945353 \r \h </w:instrText>
      </w:r>
      <w:r>
        <w:rPr>
          <w:lang w:val="en-US"/>
        </w:rPr>
      </w:r>
      <w:r>
        <w:rPr>
          <w:lang w:val="en-US"/>
        </w:rPr>
        <w:fldChar w:fldCharType="separate"/>
      </w:r>
      <w:r>
        <w:rPr>
          <w:lang w:val="en-US"/>
        </w:rPr>
        <w:t>[1]</w:t>
      </w:r>
      <w:r>
        <w:rPr>
          <w:lang w:val="en-US"/>
        </w:rPr>
        <w:fldChar w:fldCharType="end"/>
      </w:r>
      <w:r>
        <w:rPr>
          <w:lang w:val="en-US"/>
        </w:rPr>
        <w:t xml:space="preserve">, RAN plenary has approved a new WI for NTN, which will progress the effort of specification for NTN systems in 3GPP technologies in Rel-19 (NR_NTN_PH3). The most recent version of the WID can be found in </w:t>
      </w:r>
      <w:r>
        <w:rPr>
          <w:lang w:val="en-US"/>
        </w:rPr>
        <w:fldChar w:fldCharType="begin"/>
      </w:r>
      <w:r>
        <w:rPr>
          <w:lang w:val="en-US"/>
        </w:rPr>
        <w:instrText xml:space="preserve"> REF _Ref178945346 \r \h </w:instrText>
      </w:r>
      <w:r>
        <w:rPr>
          <w:lang w:val="en-US"/>
        </w:rPr>
      </w:r>
      <w:r>
        <w:rPr>
          <w:lang w:val="en-US"/>
        </w:rPr>
        <w:fldChar w:fldCharType="separate"/>
      </w:r>
      <w:r>
        <w:rPr>
          <w:lang w:val="en-US"/>
        </w:rPr>
        <w:t>[2]</w:t>
      </w:r>
      <w:r>
        <w:rPr>
          <w:lang w:val="en-US"/>
        </w:rPr>
        <w:fldChar w:fldCharType="end"/>
      </w:r>
      <w:r>
        <w:rPr>
          <w:lang w:val="en-US"/>
        </w:rPr>
        <w:t xml:space="preserve">. It includes a handful of objectives such as: </w:t>
      </w:r>
    </w:p>
    <w:p w14:paraId="0346C622" w14:textId="0F499168" w:rsidR="00E42B45" w:rsidRDefault="00E42B45" w:rsidP="00570158">
      <w:pPr>
        <w:pStyle w:val="ListParagraph"/>
        <w:numPr>
          <w:ilvl w:val="0"/>
          <w:numId w:val="28"/>
        </w:numPr>
        <w:rPr>
          <w:lang w:val="en-US"/>
        </w:rPr>
      </w:pPr>
      <w:r>
        <w:rPr>
          <w:lang w:val="en-US"/>
        </w:rPr>
        <w:t xml:space="preserve">Downlink Coverage Enhancements </w:t>
      </w:r>
    </w:p>
    <w:p w14:paraId="28B5201F" w14:textId="2C036464" w:rsidR="00E42B45" w:rsidRDefault="00E42B45" w:rsidP="00570158">
      <w:pPr>
        <w:pStyle w:val="ListParagraph"/>
        <w:numPr>
          <w:ilvl w:val="0"/>
          <w:numId w:val="28"/>
        </w:numPr>
        <w:rPr>
          <w:lang w:val="en-US"/>
        </w:rPr>
      </w:pPr>
      <w:r>
        <w:rPr>
          <w:lang w:val="en-US"/>
        </w:rPr>
        <w:t>Uplink Capacity/Coverage Enhancements</w:t>
      </w:r>
    </w:p>
    <w:p w14:paraId="3D415588" w14:textId="208C25C5" w:rsidR="00E42B45" w:rsidRDefault="00E42B45" w:rsidP="00570158">
      <w:pPr>
        <w:pStyle w:val="ListParagraph"/>
        <w:numPr>
          <w:ilvl w:val="0"/>
          <w:numId w:val="28"/>
        </w:numPr>
        <w:rPr>
          <w:lang w:val="en-US"/>
        </w:rPr>
      </w:pPr>
      <w:r>
        <w:rPr>
          <w:lang w:val="en-US"/>
        </w:rPr>
        <w:t>Signaling of the intended service area of a broadcast service (MBS broadcast)</w:t>
      </w:r>
    </w:p>
    <w:p w14:paraId="5ED3528E" w14:textId="55D78614" w:rsidR="00E42B45" w:rsidRDefault="00E42B45" w:rsidP="00570158">
      <w:pPr>
        <w:pStyle w:val="ListParagraph"/>
        <w:numPr>
          <w:ilvl w:val="0"/>
          <w:numId w:val="28"/>
        </w:numPr>
        <w:rPr>
          <w:lang w:val="en-US"/>
        </w:rPr>
      </w:pPr>
      <w:r>
        <w:rPr>
          <w:lang w:val="en-US"/>
        </w:rPr>
        <w:t>Support of regenerative payload for NTN systems</w:t>
      </w:r>
    </w:p>
    <w:p w14:paraId="4A766E3A" w14:textId="013AA450" w:rsidR="00E42B45" w:rsidRDefault="00E42B45" w:rsidP="00570158">
      <w:pPr>
        <w:pStyle w:val="ListParagraph"/>
        <w:numPr>
          <w:ilvl w:val="0"/>
          <w:numId w:val="28"/>
        </w:numPr>
        <w:rPr>
          <w:lang w:val="en-US"/>
        </w:rPr>
      </w:pPr>
      <w:r>
        <w:rPr>
          <w:lang w:val="en-US"/>
        </w:rPr>
        <w:t xml:space="preserve">Support of Rel-17 and Rel-18 </w:t>
      </w:r>
      <w:proofErr w:type="spellStart"/>
      <w:r>
        <w:rPr>
          <w:lang w:val="en-US"/>
        </w:rPr>
        <w:t>RedCap</w:t>
      </w:r>
      <w:proofErr w:type="spellEnd"/>
      <w:r>
        <w:rPr>
          <w:lang w:val="en-US"/>
        </w:rPr>
        <w:t xml:space="preserve"> and (e)</w:t>
      </w:r>
      <w:proofErr w:type="spellStart"/>
      <w:r>
        <w:rPr>
          <w:lang w:val="en-US"/>
        </w:rPr>
        <w:t>RedCap</w:t>
      </w:r>
      <w:proofErr w:type="spellEnd"/>
      <w:r>
        <w:rPr>
          <w:lang w:val="en-US"/>
        </w:rPr>
        <w:t xml:space="preserve"> UEs in NTN systems</w:t>
      </w:r>
    </w:p>
    <w:p w14:paraId="3B8BF17B" w14:textId="77777777" w:rsidR="00E42B45" w:rsidRDefault="00E42B45" w:rsidP="00E42B45">
      <w:pPr>
        <w:rPr>
          <w:lang w:val="en-US"/>
        </w:rPr>
      </w:pPr>
    </w:p>
    <w:p w14:paraId="737ED845" w14:textId="12F56A3A" w:rsidR="00E42B45" w:rsidRDefault="00E42B45" w:rsidP="00E42B45">
      <w:pPr>
        <w:rPr>
          <w:lang w:val="en-US"/>
        </w:rPr>
      </w:pPr>
      <w:r>
        <w:rPr>
          <w:lang w:val="en-US"/>
        </w:rPr>
        <w:t>The discussions of this WI in RAN4 were initiated in the previous meeting RAN4 #112. And as the outcome of the discussion a way-forward (WF) document was approved which contains a set of agreements and other way-forward (for further discussion) guidance for currently identified open issues</w:t>
      </w:r>
      <w:r w:rsidR="00570158">
        <w:rPr>
          <w:lang w:val="en-US"/>
        </w:rPr>
        <w:t xml:space="preserve"> </w:t>
      </w:r>
      <w:r w:rsidR="00570158">
        <w:rPr>
          <w:lang w:val="en-US"/>
        </w:rPr>
        <w:fldChar w:fldCharType="begin"/>
      </w:r>
      <w:r w:rsidR="00570158">
        <w:rPr>
          <w:lang w:val="en-US"/>
        </w:rPr>
        <w:instrText xml:space="preserve"> REF _Ref178945761 \r \h </w:instrText>
      </w:r>
      <w:r w:rsidR="00570158">
        <w:rPr>
          <w:lang w:val="en-US"/>
        </w:rPr>
      </w:r>
      <w:r w:rsidR="00570158">
        <w:rPr>
          <w:lang w:val="en-US"/>
        </w:rPr>
        <w:fldChar w:fldCharType="separate"/>
      </w:r>
      <w:r w:rsidR="00570158">
        <w:rPr>
          <w:lang w:val="en-US"/>
        </w:rPr>
        <w:t>[3]</w:t>
      </w:r>
      <w:r w:rsidR="00570158">
        <w:rPr>
          <w:lang w:val="en-US"/>
        </w:rPr>
        <w:fldChar w:fldCharType="end"/>
      </w:r>
      <w:r>
        <w:rPr>
          <w:lang w:val="en-US"/>
        </w:rPr>
        <w:t xml:space="preserve">. </w:t>
      </w:r>
    </w:p>
    <w:p w14:paraId="61248E82" w14:textId="21B1975D" w:rsidR="00E42B45" w:rsidRPr="00E42B45" w:rsidRDefault="00E42B45" w:rsidP="00E42B45">
      <w:pPr>
        <w:rPr>
          <w:lang w:val="en-US"/>
        </w:rPr>
      </w:pPr>
      <w:r>
        <w:rPr>
          <w:lang w:val="en-US"/>
        </w:rPr>
        <w:t xml:space="preserve">In this document we provide our views, related to the RAN4 impact of the </w:t>
      </w:r>
      <w:proofErr w:type="gramStart"/>
      <w:r>
        <w:rPr>
          <w:lang w:val="en-US"/>
        </w:rPr>
        <w:t>aforementioned objectives</w:t>
      </w:r>
      <w:proofErr w:type="gramEnd"/>
      <w:r>
        <w:rPr>
          <w:lang w:val="en-US"/>
        </w:rPr>
        <w:t xml:space="preserve"> considering the scope of this WI and/or the open issues already identified in the WF. </w:t>
      </w:r>
    </w:p>
    <w:p w14:paraId="1C673D94" w14:textId="77777777" w:rsidR="0060543D" w:rsidRPr="00614DD8" w:rsidRDefault="0060543D" w:rsidP="005C23A4">
      <w:pPr>
        <w:rPr>
          <w:lang w:val="en-US"/>
        </w:rPr>
      </w:pPr>
    </w:p>
    <w:p w14:paraId="3FB21255" w14:textId="77777777" w:rsidR="003B659E" w:rsidRDefault="003B659E" w:rsidP="00AE56B1">
      <w:pPr>
        <w:pStyle w:val="RAN4H1"/>
        <w:rPr>
          <w:lang w:val="en-US"/>
        </w:rPr>
      </w:pPr>
      <w:bookmarkStart w:id="4" w:name="_Toc116995842"/>
      <w:r w:rsidRPr="00614DD8">
        <w:rPr>
          <w:lang w:val="en-US"/>
        </w:rPr>
        <w:t>Discussion</w:t>
      </w:r>
      <w:bookmarkEnd w:id="4"/>
    </w:p>
    <w:p w14:paraId="2D76303B" w14:textId="77777777" w:rsidR="00B66B7D" w:rsidRDefault="00B66B7D" w:rsidP="00B66B7D">
      <w:pPr>
        <w:rPr>
          <w:lang w:val="en-US"/>
        </w:rPr>
      </w:pPr>
    </w:p>
    <w:p w14:paraId="772624B2" w14:textId="25830668" w:rsidR="00570158" w:rsidRDefault="00570158" w:rsidP="00B66B7D">
      <w:pPr>
        <w:rPr>
          <w:lang w:val="en-US"/>
        </w:rPr>
      </w:pPr>
      <w:r>
        <w:rPr>
          <w:lang w:val="en-US"/>
        </w:rPr>
        <w:t>This document presents discussion and proposals for NR_NTN_PH3 work item. From the 5 objectives above</w:t>
      </w:r>
      <w:r w:rsidR="00E522D0">
        <w:rPr>
          <w:lang w:val="en-US"/>
        </w:rPr>
        <w:t xml:space="preserve"> mentioned in the introduction</w:t>
      </w:r>
      <w:r>
        <w:rPr>
          <w:lang w:val="en-US"/>
        </w:rPr>
        <w:t xml:space="preserve">, one of them (number 5) is covered in a different document, which belongs to another sub-agenda item. </w:t>
      </w:r>
      <w:proofErr w:type="gramStart"/>
      <w:r>
        <w:rPr>
          <w:lang w:val="en-US"/>
        </w:rPr>
        <w:t>So</w:t>
      </w:r>
      <w:proofErr w:type="gramEnd"/>
      <w:r>
        <w:rPr>
          <w:lang w:val="en-US"/>
        </w:rPr>
        <w:t xml:space="preserve"> the </w:t>
      </w:r>
      <w:r w:rsidR="00E522D0">
        <w:rPr>
          <w:lang w:val="en-US"/>
        </w:rPr>
        <w:t>focus herein will be on the</w:t>
      </w:r>
      <w:r>
        <w:rPr>
          <w:lang w:val="en-US"/>
        </w:rPr>
        <w:t xml:space="preserve"> first four objectives listed in the introduction. </w:t>
      </w:r>
    </w:p>
    <w:p w14:paraId="28126A81" w14:textId="403A693A" w:rsidR="00570158" w:rsidRDefault="00570158" w:rsidP="00B66B7D">
      <w:pPr>
        <w:rPr>
          <w:lang w:val="en-US"/>
        </w:rPr>
      </w:pPr>
      <w:r>
        <w:rPr>
          <w:lang w:val="en-US"/>
        </w:rPr>
        <w:t xml:space="preserve">It seems a consensus in RAN4 that – at current stage of work reached by other working groups – objectives 2 and 3 above do not have RRM impacts so far. </w:t>
      </w:r>
    </w:p>
    <w:p w14:paraId="06BB4805" w14:textId="4A2C1410" w:rsidR="00570158" w:rsidRDefault="00570158" w:rsidP="00570158">
      <w:pPr>
        <w:pStyle w:val="RAN4observation0"/>
        <w:rPr>
          <w:lang w:val="en-US"/>
        </w:rPr>
      </w:pPr>
      <w:bookmarkStart w:id="5" w:name="_Toc179195607"/>
      <w:r>
        <w:rPr>
          <w:lang w:val="en-US"/>
        </w:rPr>
        <w:t>So far, no RRM impact related to the objectives related to MBS broadcast or UL capacity enhancements were identified in this WI.</w:t>
      </w:r>
      <w:bookmarkEnd w:id="5"/>
      <w:r>
        <w:rPr>
          <w:lang w:val="en-US"/>
        </w:rPr>
        <w:t xml:space="preserve"> </w:t>
      </w:r>
    </w:p>
    <w:p w14:paraId="64D42193" w14:textId="39809983" w:rsidR="00570158" w:rsidRPr="00570158" w:rsidRDefault="00570158" w:rsidP="00570158">
      <w:pPr>
        <w:rPr>
          <w:lang w:val="en-US"/>
        </w:rPr>
      </w:pPr>
      <w:proofErr w:type="gramStart"/>
      <w:r>
        <w:rPr>
          <w:lang w:val="en-US"/>
        </w:rPr>
        <w:t xml:space="preserve">As a </w:t>
      </w:r>
      <w:r w:rsidR="00E522D0">
        <w:rPr>
          <w:lang w:val="en-US"/>
        </w:rPr>
        <w:t>consequence</w:t>
      </w:r>
      <w:proofErr w:type="gramEnd"/>
      <w:r w:rsidR="00E522D0">
        <w:rPr>
          <w:lang w:val="en-US"/>
        </w:rPr>
        <w:t>,</w:t>
      </w:r>
      <w:r>
        <w:rPr>
          <w:lang w:val="en-US"/>
        </w:rPr>
        <w:t xml:space="preserve"> our discussions in this paper will focus on objectives 1 and 4. </w:t>
      </w:r>
    </w:p>
    <w:p w14:paraId="2A2509BF" w14:textId="77777777" w:rsidR="00B66B7D" w:rsidRPr="00B66B7D" w:rsidRDefault="00B66B7D" w:rsidP="00B66B7D">
      <w:pPr>
        <w:rPr>
          <w:lang w:val="en-US"/>
        </w:rPr>
      </w:pPr>
    </w:p>
    <w:p w14:paraId="69F3B4B5" w14:textId="05C5DEF3" w:rsidR="00CB22B2" w:rsidRPr="000A1646" w:rsidRDefault="00570158" w:rsidP="00496606">
      <w:pPr>
        <w:pStyle w:val="RAN4H2"/>
        <w:rPr>
          <w:lang w:val="en-US"/>
        </w:rPr>
      </w:pPr>
      <w:r w:rsidRPr="000A1646">
        <w:rPr>
          <w:lang w:val="en-US"/>
        </w:rPr>
        <w:t>Support of Regenerative payload for NTN systems</w:t>
      </w:r>
    </w:p>
    <w:p w14:paraId="7891A222" w14:textId="059FBC9F" w:rsidR="00175F5D" w:rsidRDefault="00570158" w:rsidP="00570158">
      <w:pPr>
        <w:rPr>
          <w:lang w:val="en-US"/>
        </w:rPr>
      </w:pPr>
      <w:r w:rsidRPr="000A1646">
        <w:rPr>
          <w:lang w:val="en-US"/>
        </w:rPr>
        <w:t>Although in the discussions presented in the previous meeting,</w:t>
      </w:r>
      <w:r w:rsidR="000A1646">
        <w:rPr>
          <w:lang w:val="en-US"/>
        </w:rPr>
        <w:t xml:space="preserve"> most companies did not show any concerns with</w:t>
      </w:r>
      <w:r w:rsidR="00175F5D">
        <w:rPr>
          <w:lang w:val="en-US"/>
        </w:rPr>
        <w:t xml:space="preserve"> impacts on the RRM requirements caused by the regenerative payload architecture.  But still, some companies raised a few </w:t>
      </w:r>
      <w:r w:rsidR="00175F5D">
        <w:rPr>
          <w:lang w:val="en-US"/>
        </w:rPr>
        <w:lastRenderedPageBreak/>
        <w:t xml:space="preserve">issues that should be investigated </w:t>
      </w:r>
      <w:proofErr w:type="gramStart"/>
      <w:r w:rsidR="00175F5D">
        <w:rPr>
          <w:lang w:val="en-US"/>
        </w:rPr>
        <w:t>in order to</w:t>
      </w:r>
      <w:proofErr w:type="gramEnd"/>
      <w:r w:rsidR="00175F5D">
        <w:rPr>
          <w:lang w:val="en-US"/>
        </w:rPr>
        <w:t xml:space="preserve"> analyze whether any impact is expected. In total 6 open issues were observed for this objective in the previous WF, with five of them still open. </w:t>
      </w:r>
    </w:p>
    <w:p w14:paraId="04A1D4BC" w14:textId="77777777" w:rsidR="00175F5D" w:rsidRDefault="00175F5D" w:rsidP="00570158">
      <w:pPr>
        <w:rPr>
          <w:lang w:val="en-US"/>
        </w:rPr>
      </w:pPr>
    </w:p>
    <w:p w14:paraId="00989175" w14:textId="30BE6669" w:rsidR="00175F5D" w:rsidRDefault="00175F5D" w:rsidP="00175F5D">
      <w:pPr>
        <w:pStyle w:val="RAN4H3"/>
        <w:rPr>
          <w:lang w:val="en-US"/>
        </w:rPr>
      </w:pPr>
      <w:r>
        <w:rPr>
          <w:lang w:val="en-US"/>
        </w:rPr>
        <w:t>Timing Requirements and RAN2 LS</w:t>
      </w:r>
    </w:p>
    <w:p w14:paraId="66DC634A" w14:textId="3C445CF6" w:rsidR="00175F5D" w:rsidRDefault="00175F5D" w:rsidP="00175F5D">
      <w:pPr>
        <w:rPr>
          <w:lang w:val="en-US"/>
        </w:rPr>
      </w:pPr>
      <w:r>
        <w:rPr>
          <w:lang w:val="en-US"/>
        </w:rPr>
        <w:t>RAN2 has initiated their work on Regenerative Payload potential impacts and in what regards potential impact on UE transmit timing or transmit timing requirements, the following agreements were made:</w:t>
      </w:r>
    </w:p>
    <w:tbl>
      <w:tblPr>
        <w:tblStyle w:val="TableGrid"/>
        <w:tblW w:w="0" w:type="auto"/>
        <w:tblLook w:val="04A0" w:firstRow="1" w:lastRow="0" w:firstColumn="1" w:lastColumn="0" w:noHBand="0" w:noVBand="1"/>
      </w:tblPr>
      <w:tblGrid>
        <w:gridCol w:w="9617"/>
      </w:tblGrid>
      <w:tr w:rsidR="00175F5D" w14:paraId="536C9E03" w14:textId="77777777" w:rsidTr="00175F5D">
        <w:tc>
          <w:tcPr>
            <w:tcW w:w="9617" w:type="dxa"/>
          </w:tcPr>
          <w:p w14:paraId="47A4DF6E" w14:textId="38266C0B" w:rsidR="00175F5D" w:rsidRDefault="00175F5D" w:rsidP="00175F5D">
            <w:pPr>
              <w:rPr>
                <w:b/>
                <w:bCs/>
                <w:u w:val="single"/>
                <w:lang w:val="en-US"/>
              </w:rPr>
            </w:pPr>
            <w:r w:rsidRPr="00175F5D">
              <w:rPr>
                <w:b/>
                <w:bCs/>
                <w:u w:val="single"/>
                <w:lang w:val="en-US"/>
              </w:rPr>
              <w:t>RAN2 #12</w:t>
            </w:r>
            <w:r>
              <w:rPr>
                <w:b/>
                <w:bCs/>
                <w:u w:val="single"/>
                <w:lang w:val="en-US"/>
              </w:rPr>
              <w:t>6</w:t>
            </w:r>
          </w:p>
          <w:p w14:paraId="24B0B59F" w14:textId="77777777" w:rsidR="00175F5D" w:rsidRPr="00175F5D" w:rsidRDefault="00175F5D" w:rsidP="00175F5D">
            <w:pPr>
              <w:rPr>
                <w:b/>
                <w:bCs/>
                <w:u w:val="single"/>
                <w:lang w:val="en-US"/>
              </w:rPr>
            </w:pPr>
          </w:p>
          <w:p w14:paraId="7A4CE201" w14:textId="77777777" w:rsidR="00175F5D" w:rsidRDefault="00175F5D" w:rsidP="00175F5D">
            <w:pPr>
              <w:pStyle w:val="ListParagraph"/>
              <w:numPr>
                <w:ilvl w:val="0"/>
                <w:numId w:val="30"/>
              </w:numPr>
            </w:pPr>
            <w:r w:rsidRPr="000F4A9E">
              <w:t xml:space="preserve">RAN2 assumes that the typical setting for common TA and </w:t>
            </w:r>
            <w:proofErr w:type="spellStart"/>
            <w:r w:rsidRPr="000F4A9E">
              <w:t>kmac</w:t>
            </w:r>
            <w:proofErr w:type="spellEnd"/>
            <w:r w:rsidRPr="000F4A9E">
              <w:t xml:space="preserve"> would be zero in case of regenerative mode with full </w:t>
            </w:r>
            <w:proofErr w:type="spellStart"/>
            <w:r w:rsidRPr="000F4A9E">
              <w:t>gNB</w:t>
            </w:r>
            <w:proofErr w:type="spellEnd"/>
            <w:r w:rsidRPr="000F4A9E">
              <w:t xml:space="preserve"> on board. FFS whether we capture in the spec that common TA and </w:t>
            </w:r>
            <w:proofErr w:type="spellStart"/>
            <w:r w:rsidRPr="000F4A9E">
              <w:t>Kmac</w:t>
            </w:r>
            <w:proofErr w:type="spellEnd"/>
            <w:r w:rsidRPr="000F4A9E">
              <w:t xml:space="preserve"> shall/should be set to zero.</w:t>
            </w:r>
          </w:p>
          <w:p w14:paraId="462FD59A" w14:textId="77777777" w:rsidR="00175F5D" w:rsidRDefault="00175F5D" w:rsidP="00175F5D"/>
          <w:p w14:paraId="0324B6D0" w14:textId="1B68F27D" w:rsidR="00175F5D" w:rsidRDefault="00175F5D" w:rsidP="00175F5D">
            <w:pPr>
              <w:rPr>
                <w:b/>
                <w:bCs/>
                <w:u w:val="single"/>
                <w:lang w:val="en-US"/>
              </w:rPr>
            </w:pPr>
            <w:r w:rsidRPr="00175F5D">
              <w:rPr>
                <w:b/>
                <w:bCs/>
                <w:u w:val="single"/>
                <w:lang w:val="en-US"/>
              </w:rPr>
              <w:t>RAN2 #12</w:t>
            </w:r>
            <w:r>
              <w:rPr>
                <w:b/>
                <w:bCs/>
                <w:u w:val="single"/>
                <w:lang w:val="en-US"/>
              </w:rPr>
              <w:t>7</w:t>
            </w:r>
          </w:p>
          <w:p w14:paraId="328604FB" w14:textId="77777777" w:rsidR="00175F5D" w:rsidRPr="00175F5D" w:rsidRDefault="00175F5D" w:rsidP="00175F5D">
            <w:pPr>
              <w:rPr>
                <w:b/>
                <w:bCs/>
                <w:u w:val="single"/>
                <w:lang w:val="en-US"/>
              </w:rPr>
            </w:pPr>
          </w:p>
          <w:p w14:paraId="4CFBE62C" w14:textId="77777777" w:rsidR="000B7BC5" w:rsidRPr="000F4A9E" w:rsidRDefault="000B7BC5" w:rsidP="000B7BC5">
            <w:pPr>
              <w:pStyle w:val="ListParagraph"/>
              <w:numPr>
                <w:ilvl w:val="0"/>
                <w:numId w:val="30"/>
              </w:numPr>
            </w:pPr>
            <w:r w:rsidRPr="000F4A9E">
              <w:t>RAN2 confirms the understanding that legacy UEs should be supported in a regenerative payload scenario.</w:t>
            </w:r>
          </w:p>
          <w:p w14:paraId="76BA0A03" w14:textId="6236AFF5" w:rsidR="000B7BC5" w:rsidRPr="000F4A9E" w:rsidRDefault="000B7BC5" w:rsidP="000B7BC5">
            <w:pPr>
              <w:pStyle w:val="ListParagraph"/>
              <w:numPr>
                <w:ilvl w:val="0"/>
                <w:numId w:val="30"/>
              </w:numPr>
            </w:pPr>
            <w:r w:rsidRPr="000B7BC5">
              <w:rPr>
                <w:highlight w:val="green"/>
              </w:rPr>
              <w:t>Send an LS to RAN1 and RAN4</w:t>
            </w:r>
            <w:r w:rsidRPr="000F4A9E">
              <w:t xml:space="preserve"> asking whether in a regenerative payload scenario it </w:t>
            </w:r>
            <w:proofErr w:type="gramStart"/>
            <w:r w:rsidRPr="000F4A9E">
              <w:t>would be a problem</w:t>
            </w:r>
            <w:proofErr w:type="gramEnd"/>
            <w:r w:rsidRPr="000F4A9E">
              <w:t xml:space="preserve"> to stick to 0 as the minimum possible value for ta-Common or whether we should e.g. introduce negative values for ta-Common. Also indicate that in any case legacy UEs would have to rely on existing signalling and then on a minimum value equal to 0.</w:t>
            </w:r>
          </w:p>
          <w:p w14:paraId="15009BFB" w14:textId="2A5678D6" w:rsidR="00175F5D" w:rsidRPr="00175F5D" w:rsidRDefault="00175F5D" w:rsidP="00175F5D"/>
        </w:tc>
      </w:tr>
    </w:tbl>
    <w:p w14:paraId="46350FCF" w14:textId="77777777" w:rsidR="00175F5D" w:rsidRDefault="00175F5D" w:rsidP="00175F5D">
      <w:pPr>
        <w:rPr>
          <w:lang w:val="en-US"/>
        </w:rPr>
      </w:pPr>
    </w:p>
    <w:p w14:paraId="69D1B270" w14:textId="7B868BFE" w:rsidR="000B7BC5" w:rsidRDefault="000B7BC5" w:rsidP="00175F5D">
      <w:pPr>
        <w:rPr>
          <w:lang w:val="en-US"/>
        </w:rPr>
      </w:pPr>
      <w:r>
        <w:rPr>
          <w:lang w:val="en-US"/>
        </w:rPr>
        <w:t xml:space="preserve">The </w:t>
      </w:r>
      <w:proofErr w:type="gramStart"/>
      <w:r>
        <w:rPr>
          <w:lang w:val="en-US"/>
        </w:rPr>
        <w:t>aforementioned LS</w:t>
      </w:r>
      <w:proofErr w:type="gramEnd"/>
      <w:r>
        <w:rPr>
          <w:lang w:val="en-US"/>
        </w:rPr>
        <w:t xml:space="preserve"> was presented to RAN4 in </w:t>
      </w:r>
      <w:r w:rsidRPr="000B7BC5">
        <w:rPr>
          <w:lang w:val="en-US"/>
        </w:rPr>
        <w:t>R2-2407623</w:t>
      </w:r>
      <w:r>
        <w:rPr>
          <w:lang w:val="en-US"/>
        </w:rPr>
        <w:t xml:space="preserve"> </w:t>
      </w:r>
      <w:r>
        <w:rPr>
          <w:lang w:val="en-US"/>
        </w:rPr>
        <w:fldChar w:fldCharType="begin"/>
      </w:r>
      <w:r>
        <w:rPr>
          <w:lang w:val="en-US"/>
        </w:rPr>
        <w:instrText xml:space="preserve"> REF _Ref178948211 \r \h </w:instrText>
      </w:r>
      <w:r>
        <w:rPr>
          <w:lang w:val="en-US"/>
        </w:rPr>
      </w:r>
      <w:r>
        <w:rPr>
          <w:lang w:val="en-US"/>
        </w:rPr>
        <w:fldChar w:fldCharType="separate"/>
      </w:r>
      <w:r>
        <w:rPr>
          <w:lang w:val="en-US"/>
        </w:rPr>
        <w:t>[4]</w:t>
      </w:r>
      <w:r>
        <w:rPr>
          <w:lang w:val="en-US"/>
        </w:rPr>
        <w:fldChar w:fldCharType="end"/>
      </w:r>
      <w:r>
        <w:rPr>
          <w:lang w:val="en-US"/>
        </w:rPr>
        <w:t xml:space="preserve">. </w:t>
      </w:r>
      <w:r w:rsidR="00545DC8">
        <w:rPr>
          <w:lang w:val="en-US"/>
        </w:rPr>
        <w:t>And the following question was posed to RAN4:</w:t>
      </w:r>
    </w:p>
    <w:tbl>
      <w:tblPr>
        <w:tblStyle w:val="TableGrid"/>
        <w:tblW w:w="0" w:type="auto"/>
        <w:tblLook w:val="04A0" w:firstRow="1" w:lastRow="0" w:firstColumn="1" w:lastColumn="0" w:noHBand="0" w:noVBand="1"/>
      </w:tblPr>
      <w:tblGrid>
        <w:gridCol w:w="9617"/>
      </w:tblGrid>
      <w:tr w:rsidR="00545DC8" w14:paraId="0DEDE8DA" w14:textId="77777777" w:rsidTr="00545DC8">
        <w:tc>
          <w:tcPr>
            <w:tcW w:w="9617" w:type="dxa"/>
          </w:tcPr>
          <w:p w14:paraId="2D897ED5" w14:textId="77777777" w:rsidR="00545DC8" w:rsidRPr="00545DC8" w:rsidRDefault="00545DC8" w:rsidP="00545DC8">
            <w:pPr>
              <w:rPr>
                <w:lang w:val="en-US"/>
              </w:rPr>
            </w:pPr>
            <w:r w:rsidRPr="00545DC8">
              <w:rPr>
                <w:b/>
                <w:bCs/>
              </w:rPr>
              <w:t>Question:</w:t>
            </w:r>
            <w:r w:rsidRPr="00545DC8">
              <w:rPr>
                <w:b/>
                <w:bCs/>
                <w:lang w:val="en-US"/>
              </w:rPr>
              <w:t xml:space="preserve"> </w:t>
            </w:r>
            <w:r w:rsidRPr="00545DC8">
              <w:rPr>
                <w:lang w:val="en-US"/>
              </w:rPr>
              <w:t xml:space="preserve"> Whether in a regenerative payload scenario it would be a problem to stick to 0 as the minimum possible value for TA-Common or whether we should e.g. introduce negative values for ta-Common. </w:t>
            </w:r>
          </w:p>
          <w:p w14:paraId="50EE5A33" w14:textId="77777777" w:rsidR="00545DC8" w:rsidRDefault="00545DC8" w:rsidP="00545DC8">
            <w:pPr>
              <w:rPr>
                <w:lang w:val="en-US"/>
              </w:rPr>
            </w:pPr>
          </w:p>
          <w:p w14:paraId="0ED37B57" w14:textId="0065800E" w:rsidR="00545DC8" w:rsidRPr="00545DC8" w:rsidRDefault="00545DC8" w:rsidP="00545DC8">
            <w:pPr>
              <w:rPr>
                <w:lang w:val="en-US"/>
              </w:rPr>
            </w:pPr>
            <w:r w:rsidRPr="00545DC8">
              <w:rPr>
                <w:lang w:val="en-US"/>
              </w:rPr>
              <w:t>Additionally,  RAN2 understands in any case legacy UEs would have to rely on existing signaling and then for legacy UEs, minimum value of Common TA is equal to 0.</w:t>
            </w:r>
          </w:p>
          <w:p w14:paraId="3F1E7150" w14:textId="77777777" w:rsidR="00545DC8" w:rsidRDefault="00545DC8" w:rsidP="00175F5D">
            <w:pPr>
              <w:rPr>
                <w:lang w:val="en-US"/>
              </w:rPr>
            </w:pPr>
          </w:p>
        </w:tc>
      </w:tr>
    </w:tbl>
    <w:p w14:paraId="1908B927" w14:textId="77777777" w:rsidR="00545DC8" w:rsidRDefault="00545DC8" w:rsidP="00175F5D">
      <w:pPr>
        <w:rPr>
          <w:lang w:val="en-US"/>
        </w:rPr>
      </w:pPr>
    </w:p>
    <w:p w14:paraId="37D12C30" w14:textId="1D185C88" w:rsidR="00545DC8" w:rsidRDefault="00E522D0" w:rsidP="00175F5D">
      <w:pPr>
        <w:rPr>
          <w:lang w:val="en-US"/>
        </w:rPr>
      </w:pPr>
      <w:r>
        <w:rPr>
          <w:lang w:val="en-US"/>
        </w:rPr>
        <w:t>Similar</w:t>
      </w:r>
      <w:r w:rsidR="00545DC8">
        <w:rPr>
          <w:lang w:val="en-US"/>
        </w:rPr>
        <w:t xml:space="preserve"> discussions are also captured in the RAN4 WF (issue 5-2-1).</w:t>
      </w:r>
    </w:p>
    <w:p w14:paraId="7570F0B7" w14:textId="6B181E91" w:rsidR="00771D2E" w:rsidRDefault="00545DC8" w:rsidP="00175F5D">
      <w:r>
        <w:rPr>
          <w:lang w:val="en-US"/>
        </w:rPr>
        <w:t xml:space="preserve">In our view, the UE shall be capable to meet the transmission requirements, i.e., to be within  </w:t>
      </w:r>
      <w:proofErr w:type="spellStart"/>
      <w:r w:rsidR="00771D2E">
        <w:rPr>
          <w:lang w:val="en-US"/>
        </w:rPr>
        <w:t>T</w:t>
      </w:r>
      <w:r w:rsidR="00771D2E" w:rsidRPr="00E522D0">
        <w:rPr>
          <w:vertAlign w:val="subscript"/>
          <w:lang w:val="en-US"/>
        </w:rPr>
        <w:t>e_NTN</w:t>
      </w:r>
      <w:proofErr w:type="spellEnd"/>
      <w:r w:rsidR="00771D2E" w:rsidRPr="00E522D0">
        <w:rPr>
          <w:vertAlign w:val="subscript"/>
          <w:lang w:val="en-US"/>
        </w:rPr>
        <w:t xml:space="preserve"> </w:t>
      </w:r>
      <w:r w:rsidR="00771D2E">
        <w:rPr>
          <w:lang w:val="en-US"/>
        </w:rPr>
        <w:t xml:space="preserve">of the uplink transmit timing, which is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lang w:val="en-US"/>
              </w:rPr>
              <m:t>c</m:t>
            </m:r>
          </m:sub>
        </m:sSub>
      </m:oMath>
      <w:r w:rsidR="00771D2E">
        <w:t xml:space="preserve"> before the downlink reference timing. These 4 components must be such that all UE transmitting in the system are time aligned at the UL reference point (usually the </w:t>
      </w:r>
      <w:proofErr w:type="spellStart"/>
      <w:r w:rsidR="00771D2E">
        <w:t>gNB</w:t>
      </w:r>
      <w:proofErr w:type="spellEnd"/>
      <w:r w:rsidR="00771D2E">
        <w:t xml:space="preserve"> or the satellite).  This means that the values of these components must be meaningful from the system perspective. </w:t>
      </w:r>
    </w:p>
    <w:p w14:paraId="06CD2581" w14:textId="16FC8CC8" w:rsidR="00771D2E" w:rsidRDefault="00771D2E" w:rsidP="00771D2E">
      <w:pPr>
        <w:pStyle w:val="RAN4observation0"/>
      </w:pPr>
      <w:bookmarkStart w:id="6" w:name="_Toc179195608"/>
      <w:r>
        <w:t xml:space="preserve">All transmitting UEs must be time aligned at the system synchronization reference point (usually the satellite or the </w:t>
      </w:r>
      <w:proofErr w:type="spellStart"/>
      <w:r>
        <w:t>gNb</w:t>
      </w:r>
      <w:proofErr w:type="spellEnd"/>
      <w:r>
        <w:t>)</w:t>
      </w:r>
      <w:bookmarkEnd w:id="6"/>
    </w:p>
    <w:p w14:paraId="62B1BE2D" w14:textId="26D6FA58" w:rsidR="00771D2E" w:rsidRDefault="00771D2E" w:rsidP="00175F5D">
      <w:pPr>
        <w:rPr>
          <w:rFonts w:eastAsiaTheme="minorEastAsia"/>
        </w:rPr>
      </w:pPr>
      <w:r>
        <w:t xml:space="preserve">In the case of transparent payload </w:t>
      </w:r>
      <m:oMath>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common</m:t>
            </m:r>
          </m:sup>
        </m:sSubSup>
      </m:oMath>
      <w:r>
        <w:rPr>
          <w:rFonts w:eastAsiaTheme="minorEastAsia"/>
        </w:rPr>
        <w:t xml:space="preserve"> was introduced to allow the system to compensate for the feeder link delay. In the case of regenerative architecture, there is no need to compensate for the feeder link delay, such that if NTN specs had been developed for regenerative-only, most likely this component would not be present. </w:t>
      </w:r>
    </w:p>
    <w:p w14:paraId="41C91D25" w14:textId="1811E43C" w:rsidR="00771D2E" w:rsidRDefault="00771D2E" w:rsidP="00175F5D">
      <w:pPr>
        <w:rPr>
          <w:rFonts w:eastAsiaTheme="minorEastAsia"/>
        </w:rPr>
      </w:pPr>
      <w:r>
        <w:rPr>
          <w:rFonts w:eastAsiaTheme="minorEastAsia"/>
        </w:rPr>
        <w:t xml:space="preserve">Therefore, we think that there is no harm in considering </w:t>
      </w:r>
      <m:oMath>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common</m:t>
            </m:r>
          </m:sup>
        </m:sSubSup>
        <m:r>
          <w:rPr>
            <w:rFonts w:ascii="Cambria Math" w:hAnsi="Cambria Math"/>
          </w:rPr>
          <m:t>=0</m:t>
        </m:r>
      </m:oMath>
      <w:r>
        <w:rPr>
          <w:rFonts w:eastAsiaTheme="minorEastAsia"/>
        </w:rPr>
        <w:t xml:space="preserve"> for the regenerative architecture. </w:t>
      </w:r>
    </w:p>
    <w:p w14:paraId="512C2611" w14:textId="782A8F10" w:rsidR="00771D2E" w:rsidRPr="00545DC8" w:rsidRDefault="00771D2E" w:rsidP="00771D2E">
      <w:pPr>
        <w:rPr>
          <w:lang w:val="en-US"/>
        </w:rPr>
      </w:pPr>
      <w:r>
        <w:t xml:space="preserve">Besides, RAN2 adds a piece of valuable information in their reply: </w:t>
      </w:r>
      <w:r w:rsidRPr="00771D2E">
        <w:rPr>
          <w:i/>
          <w:iCs/>
        </w:rPr>
        <w:t>“</w:t>
      </w:r>
      <w:r w:rsidRPr="00771D2E">
        <w:rPr>
          <w:i/>
          <w:iCs/>
          <w:lang w:val="en-US"/>
        </w:rPr>
        <w:t>Additionally,  RAN2 understands in any case legacy UEs would have to rely on existing signaling and then for legacy UEs, minimum value of Common TA is equal to 0.”</w:t>
      </w:r>
    </w:p>
    <w:p w14:paraId="0E36E8AB" w14:textId="11B00C16" w:rsidR="00771D2E" w:rsidRDefault="00771D2E" w:rsidP="00771D2E">
      <w:r>
        <w:t xml:space="preserve">From the system point of view, it is not a good practice that the reference timing for legacy and new UEs are different, as we registered in Observation 2, all UEs must be time aligned from the system point of view. We shall indicate that to RAN2. </w:t>
      </w:r>
    </w:p>
    <w:p w14:paraId="7B76BC00" w14:textId="77777777" w:rsidR="00E522D0" w:rsidRDefault="00E522D0" w:rsidP="00E522D0">
      <w:pPr>
        <w:pStyle w:val="RAN4proposal"/>
      </w:pPr>
      <w:bookmarkStart w:id="7" w:name="_Toc179195609"/>
      <w:r>
        <w:t>Reply to RAN2 that “in regenerative payload scenario, there is no problem to stick to 0 as the minimum possible value for TA-Common”.</w:t>
      </w:r>
      <w:bookmarkEnd w:id="7"/>
      <w:r>
        <w:t xml:space="preserve"> </w:t>
      </w:r>
    </w:p>
    <w:p w14:paraId="017EE07D" w14:textId="77777777" w:rsidR="00E522D0" w:rsidRDefault="00E522D0" w:rsidP="00771D2E"/>
    <w:p w14:paraId="20C6B1CB" w14:textId="3957AC45" w:rsidR="00771D2E" w:rsidRPr="00771D2E" w:rsidRDefault="003A7E30" w:rsidP="00771D2E">
      <w:pPr>
        <w:pStyle w:val="RAN4proposal"/>
      </w:pPr>
      <w:bookmarkStart w:id="8" w:name="_Toc179195610"/>
      <w:r>
        <w:t>Include on the LS reply to RAN2 that: “the UL reference timing – from the receiver point of view – shall be the same for all UEs, and legacy and Rel-19 UEs shall have a common understanding of the common delay.</w:t>
      </w:r>
      <w:bookmarkEnd w:id="8"/>
      <w:r>
        <w:t xml:space="preserve"> </w:t>
      </w:r>
    </w:p>
    <w:p w14:paraId="10B34CD8" w14:textId="77777777" w:rsidR="00545DC8" w:rsidRDefault="00545DC8" w:rsidP="00175F5D">
      <w:pPr>
        <w:rPr>
          <w:lang w:val="en-US"/>
        </w:rPr>
      </w:pPr>
    </w:p>
    <w:p w14:paraId="4F4DF37E" w14:textId="49F6ABDC" w:rsidR="003A7E30" w:rsidRDefault="003A7E30" w:rsidP="003A7E30">
      <w:pPr>
        <w:pStyle w:val="RAN4H3"/>
        <w:rPr>
          <w:lang w:val="en-US"/>
        </w:rPr>
      </w:pPr>
      <w:r>
        <w:rPr>
          <w:lang w:val="en-US"/>
        </w:rPr>
        <w:t>Mobility Related Requirements</w:t>
      </w:r>
    </w:p>
    <w:p w14:paraId="0A4D6B33" w14:textId="59112D1F" w:rsidR="003A7E30" w:rsidRDefault="003A7E30" w:rsidP="003A7E30">
      <w:r w:rsidRPr="003A7E30">
        <w:t xml:space="preserve">Other issues in the previous WF </w:t>
      </w:r>
      <w:r w:rsidRPr="003A7E30">
        <w:fldChar w:fldCharType="begin"/>
      </w:r>
      <w:r w:rsidRPr="003A7E30">
        <w:instrText xml:space="preserve"> REF _Ref178945761 \r \h </w:instrText>
      </w:r>
      <w:r>
        <w:instrText xml:space="preserve"> \* MERGEFORMAT </w:instrText>
      </w:r>
      <w:r w:rsidRPr="003A7E30">
        <w:fldChar w:fldCharType="separate"/>
      </w:r>
      <w:r w:rsidRPr="003A7E30">
        <w:t>[3]</w:t>
      </w:r>
      <w:r w:rsidRPr="003A7E30">
        <w:fldChar w:fldCharType="end"/>
      </w:r>
      <w:r>
        <w:t xml:space="preserve"> were addressing whether the following RRM requirements are impacted:</w:t>
      </w:r>
    </w:p>
    <w:p w14:paraId="3D8A3A9C" w14:textId="492CB4A1" w:rsidR="003A7E30" w:rsidRDefault="003A7E30" w:rsidP="003A7E30">
      <w:pPr>
        <w:pStyle w:val="ListParagraph"/>
        <w:numPr>
          <w:ilvl w:val="0"/>
          <w:numId w:val="32"/>
        </w:numPr>
      </w:pPr>
      <w:proofErr w:type="spellStart"/>
      <w:r>
        <w:t>RRC_Inactive</w:t>
      </w:r>
      <w:proofErr w:type="spellEnd"/>
      <w:r>
        <w:t xml:space="preserve"> state mobility</w:t>
      </w:r>
    </w:p>
    <w:p w14:paraId="0897D879" w14:textId="77777777" w:rsidR="003A7E30" w:rsidRDefault="003A7E30" w:rsidP="003A7E30">
      <w:pPr>
        <w:pStyle w:val="ListParagraph"/>
        <w:numPr>
          <w:ilvl w:val="0"/>
          <w:numId w:val="32"/>
        </w:numPr>
      </w:pPr>
      <w:r>
        <w:t>RRC  Re-establishment</w:t>
      </w:r>
    </w:p>
    <w:p w14:paraId="3543A4B4" w14:textId="77777777" w:rsidR="003A7E30" w:rsidRDefault="003A7E30" w:rsidP="003A7E30">
      <w:pPr>
        <w:pStyle w:val="ListParagraph"/>
        <w:numPr>
          <w:ilvl w:val="0"/>
          <w:numId w:val="32"/>
        </w:numPr>
      </w:pPr>
      <w:r>
        <w:t xml:space="preserve">RACH-less HO </w:t>
      </w:r>
    </w:p>
    <w:p w14:paraId="35AA2DCD" w14:textId="57EA6FB2" w:rsidR="003A7E30" w:rsidRPr="003A7E30" w:rsidRDefault="003A7E30" w:rsidP="003A7E30">
      <w:pPr>
        <w:pStyle w:val="ListParagraph"/>
        <w:numPr>
          <w:ilvl w:val="0"/>
          <w:numId w:val="32"/>
        </w:numPr>
      </w:pPr>
      <w:r>
        <w:t xml:space="preserve">Satellite switching with same PCI </w:t>
      </w:r>
    </w:p>
    <w:p w14:paraId="5B57CA51" w14:textId="77777777" w:rsidR="00545DC8" w:rsidRDefault="00545DC8" w:rsidP="00175F5D">
      <w:pPr>
        <w:rPr>
          <w:lang w:val="en-US"/>
        </w:rPr>
      </w:pPr>
    </w:p>
    <w:p w14:paraId="67E3743C" w14:textId="4DCB0E86" w:rsidR="003A7E30" w:rsidRDefault="003A7E30" w:rsidP="00175F5D">
      <w:pPr>
        <w:rPr>
          <w:lang w:val="en-US"/>
        </w:rPr>
      </w:pPr>
      <w:r>
        <w:rPr>
          <w:lang w:val="en-US"/>
        </w:rPr>
        <w:t>Regarding those RRM aspects the following progress was achieved in RAN2:</w:t>
      </w:r>
    </w:p>
    <w:p w14:paraId="4B5FBAC5" w14:textId="77777777" w:rsidR="003A7E30" w:rsidRDefault="003A7E30" w:rsidP="00175F5D">
      <w:pPr>
        <w:rPr>
          <w:lang w:val="en-US"/>
        </w:rPr>
      </w:pPr>
    </w:p>
    <w:tbl>
      <w:tblPr>
        <w:tblStyle w:val="TableGrid"/>
        <w:tblW w:w="0" w:type="auto"/>
        <w:tblLook w:val="04A0" w:firstRow="1" w:lastRow="0" w:firstColumn="1" w:lastColumn="0" w:noHBand="0" w:noVBand="1"/>
      </w:tblPr>
      <w:tblGrid>
        <w:gridCol w:w="9617"/>
      </w:tblGrid>
      <w:tr w:rsidR="003A7E30" w14:paraId="3BCACBBF" w14:textId="77777777" w:rsidTr="003A7E30">
        <w:tc>
          <w:tcPr>
            <w:tcW w:w="9617" w:type="dxa"/>
          </w:tcPr>
          <w:p w14:paraId="1A106A56" w14:textId="77777777" w:rsidR="003A7E30" w:rsidRDefault="003A7E30" w:rsidP="003A7E30">
            <w:pPr>
              <w:rPr>
                <w:b/>
                <w:bCs/>
                <w:u w:val="single"/>
                <w:lang w:val="en-US"/>
              </w:rPr>
            </w:pPr>
            <w:r w:rsidRPr="00175F5D">
              <w:rPr>
                <w:b/>
                <w:bCs/>
                <w:u w:val="single"/>
                <w:lang w:val="en-US"/>
              </w:rPr>
              <w:t>RAN2 #12</w:t>
            </w:r>
            <w:r>
              <w:rPr>
                <w:b/>
                <w:bCs/>
                <w:u w:val="single"/>
                <w:lang w:val="en-US"/>
              </w:rPr>
              <w:t>6</w:t>
            </w:r>
          </w:p>
          <w:p w14:paraId="02CC1AF8" w14:textId="77777777" w:rsidR="003A7E30" w:rsidRPr="00175F5D" w:rsidRDefault="003A7E30" w:rsidP="003A7E30">
            <w:pPr>
              <w:rPr>
                <w:b/>
                <w:bCs/>
                <w:u w:val="single"/>
                <w:lang w:val="en-US"/>
              </w:rPr>
            </w:pPr>
          </w:p>
          <w:p w14:paraId="5A8159CF" w14:textId="2708DFFD" w:rsidR="00100ED9" w:rsidRPr="000F4A9E" w:rsidRDefault="00100ED9" w:rsidP="00100ED9">
            <w:pPr>
              <w:pStyle w:val="ListParagraph"/>
              <w:numPr>
                <w:ilvl w:val="0"/>
                <w:numId w:val="33"/>
              </w:numPr>
            </w:pPr>
            <w:r w:rsidRPr="000F4A9E">
              <w:t>Regarding potential issues with RRC re-establishment, RAN2 will wait for RAN3 input, if any</w:t>
            </w:r>
          </w:p>
          <w:p w14:paraId="2F5F4FEA" w14:textId="0BB8AA39" w:rsidR="00100ED9" w:rsidRPr="000F4A9E" w:rsidRDefault="00100ED9" w:rsidP="00100ED9">
            <w:pPr>
              <w:pStyle w:val="ListParagraph"/>
              <w:numPr>
                <w:ilvl w:val="0"/>
                <w:numId w:val="33"/>
              </w:numPr>
            </w:pPr>
            <w:r w:rsidRPr="000F4A9E">
              <w:t>Regarding potential issues with support of Inactive state, RAN2 will wait for RAN3 input, if any</w:t>
            </w:r>
          </w:p>
          <w:p w14:paraId="76898531" w14:textId="4143F541" w:rsidR="00100ED9" w:rsidRPr="000F4A9E" w:rsidRDefault="00100ED9" w:rsidP="00100ED9">
            <w:pPr>
              <w:pStyle w:val="ListParagraph"/>
              <w:numPr>
                <w:ilvl w:val="0"/>
                <w:numId w:val="33"/>
              </w:numPr>
            </w:pPr>
            <w:r w:rsidRPr="000F4A9E">
              <w:t>RAN2 aims at supporting RACH-less handover for regenerative architecture. Can further discuss whether any optimization is needed</w:t>
            </w:r>
          </w:p>
          <w:p w14:paraId="14C7AA0E" w14:textId="0322509C" w:rsidR="00100ED9" w:rsidRPr="000F4A9E" w:rsidRDefault="00100ED9" w:rsidP="00100ED9">
            <w:pPr>
              <w:pStyle w:val="ListParagraph"/>
              <w:numPr>
                <w:ilvl w:val="0"/>
                <w:numId w:val="33"/>
              </w:numPr>
            </w:pPr>
            <w:r w:rsidRPr="000F4A9E">
              <w:t xml:space="preserve">RAN2 assumes that network verified UE positioning is supported for regenerative architecture </w:t>
            </w:r>
          </w:p>
          <w:p w14:paraId="2BDC3611" w14:textId="77777777" w:rsidR="003A7E30" w:rsidRDefault="003A7E30" w:rsidP="003A7E30"/>
          <w:p w14:paraId="3A12F448" w14:textId="77777777" w:rsidR="003A7E30" w:rsidRDefault="003A7E30" w:rsidP="003A7E30">
            <w:pPr>
              <w:rPr>
                <w:b/>
                <w:bCs/>
                <w:u w:val="single"/>
                <w:lang w:val="en-US"/>
              </w:rPr>
            </w:pPr>
            <w:r w:rsidRPr="00175F5D">
              <w:rPr>
                <w:b/>
                <w:bCs/>
                <w:u w:val="single"/>
                <w:lang w:val="en-US"/>
              </w:rPr>
              <w:t>RAN2 #12</w:t>
            </w:r>
            <w:r>
              <w:rPr>
                <w:b/>
                <w:bCs/>
                <w:u w:val="single"/>
                <w:lang w:val="en-US"/>
              </w:rPr>
              <w:t>7</w:t>
            </w:r>
          </w:p>
          <w:p w14:paraId="04323A4A" w14:textId="77777777" w:rsidR="003A7E30" w:rsidRPr="00175F5D" w:rsidRDefault="003A7E30" w:rsidP="003A7E30">
            <w:pPr>
              <w:rPr>
                <w:b/>
                <w:bCs/>
                <w:u w:val="single"/>
                <w:lang w:val="en-US"/>
              </w:rPr>
            </w:pPr>
          </w:p>
          <w:p w14:paraId="30B38DD6" w14:textId="77777777" w:rsidR="00100ED9" w:rsidRPr="000F4A9E" w:rsidRDefault="00100ED9" w:rsidP="00100ED9">
            <w:pPr>
              <w:pStyle w:val="ListParagraph"/>
              <w:numPr>
                <w:ilvl w:val="0"/>
                <w:numId w:val="35"/>
              </w:numPr>
            </w:pPr>
            <w:r w:rsidRPr="000F4A9E">
              <w:t xml:space="preserve">RAN2 understanding is that for regenerative payload existing RACH-less HO could be applied </w:t>
            </w:r>
            <w:proofErr w:type="gramStart"/>
            <w:r w:rsidRPr="000F4A9E">
              <w:t>directly,</w:t>
            </w:r>
            <w:proofErr w:type="gramEnd"/>
            <w:r w:rsidRPr="000F4A9E">
              <w:t xml:space="preserve"> no further </w:t>
            </w:r>
            <w:proofErr w:type="spellStart"/>
            <w:r w:rsidRPr="000F4A9E">
              <w:t>Uu</w:t>
            </w:r>
            <w:proofErr w:type="spellEnd"/>
            <w:r w:rsidRPr="000F4A9E">
              <w:t xml:space="preserve"> enhancement is needed.</w:t>
            </w:r>
          </w:p>
          <w:p w14:paraId="1EA50558" w14:textId="4189406A" w:rsidR="003A7E30" w:rsidRPr="003A7E30" w:rsidRDefault="00100ED9" w:rsidP="00100ED9">
            <w:pPr>
              <w:pStyle w:val="ListParagraph"/>
              <w:numPr>
                <w:ilvl w:val="0"/>
                <w:numId w:val="35"/>
              </w:numPr>
            </w:pPr>
            <w:r w:rsidRPr="000F4A9E">
              <w:t>We do not optimize UE power saving for SDT procedure in regenerative payload architecture</w:t>
            </w:r>
          </w:p>
        </w:tc>
      </w:tr>
    </w:tbl>
    <w:p w14:paraId="645268BD" w14:textId="77777777" w:rsidR="003A7E30" w:rsidRDefault="003A7E30" w:rsidP="00175F5D">
      <w:pPr>
        <w:rPr>
          <w:lang w:val="en-US"/>
        </w:rPr>
      </w:pPr>
    </w:p>
    <w:p w14:paraId="4BF2C353" w14:textId="2AAF0DEB" w:rsidR="003A7E30" w:rsidRDefault="00100ED9" w:rsidP="00175F5D">
      <w:pPr>
        <w:rPr>
          <w:lang w:val="en-US"/>
        </w:rPr>
      </w:pPr>
      <w:r>
        <w:rPr>
          <w:lang w:val="en-US"/>
        </w:rPr>
        <w:t xml:space="preserve">Therefore, </w:t>
      </w:r>
      <w:proofErr w:type="gramStart"/>
      <w:r>
        <w:rPr>
          <w:lang w:val="en-US"/>
        </w:rPr>
        <w:t>it is clear that so</w:t>
      </w:r>
      <w:proofErr w:type="gramEnd"/>
      <w:r>
        <w:rPr>
          <w:lang w:val="en-US"/>
        </w:rPr>
        <w:t xml:space="preserve"> far, the RAN2 progress has not altered or modified RRC Re-establishment, inactive state mobility nor RACH-less HO requirements. From RAN4 point of view, it seems that none of those requirements are impacted either by assuming a regenerative architecture. </w:t>
      </w:r>
    </w:p>
    <w:p w14:paraId="2AE05E76" w14:textId="725E8CC8" w:rsidR="00100ED9" w:rsidRDefault="00100ED9" w:rsidP="00100ED9">
      <w:pPr>
        <w:pStyle w:val="RAN4proposal"/>
      </w:pPr>
      <w:bookmarkStart w:id="9" w:name="_Toc179195611"/>
      <w:r>
        <w:t>Unless indicated otherwise by further RAN2/3 progress, none of the following RRM requirements needs to be modified: RRC re-establishment, RACH-less HO and Inactive State mobility.</w:t>
      </w:r>
      <w:bookmarkEnd w:id="9"/>
      <w:r>
        <w:t xml:space="preserve"> </w:t>
      </w:r>
    </w:p>
    <w:p w14:paraId="4FF12F69" w14:textId="727ED798" w:rsidR="00100ED9" w:rsidRDefault="00100ED9" w:rsidP="00100ED9">
      <w:r>
        <w:t xml:space="preserve">Regarding satellite switch with same PCI, we believe </w:t>
      </w:r>
      <w:proofErr w:type="gramStart"/>
      <w:r>
        <w:t>that,</w:t>
      </w:r>
      <w:proofErr w:type="gramEnd"/>
      <w:r>
        <w:t xml:space="preserve"> being the </w:t>
      </w:r>
      <w:proofErr w:type="spellStart"/>
      <w:r>
        <w:t>gNB</w:t>
      </w:r>
      <w:proofErr w:type="spellEnd"/>
      <w:r>
        <w:t xml:space="preserve"> on board of the satellite in the case of regenerative architecture, there is no benefit in switching the satellite while maintaining the logical cell ID, as this would require tight coordination between satellites. </w:t>
      </w:r>
    </w:p>
    <w:p w14:paraId="3848EE61" w14:textId="5E91C920" w:rsidR="00100ED9" w:rsidRDefault="00100ED9" w:rsidP="00100ED9">
      <w:pPr>
        <w:pStyle w:val="RAN4proposal"/>
      </w:pPr>
      <w:bookmarkStart w:id="10" w:name="_Toc179195612"/>
      <w:r>
        <w:t>Do not support satellite switching with same PCI for regenerative architecture in Rel-19.</w:t>
      </w:r>
      <w:bookmarkEnd w:id="10"/>
      <w:r>
        <w:t xml:space="preserve"> </w:t>
      </w:r>
    </w:p>
    <w:p w14:paraId="675D45DA" w14:textId="77777777" w:rsidR="00100ED9" w:rsidRPr="00100ED9" w:rsidRDefault="00100ED9" w:rsidP="00100ED9"/>
    <w:p w14:paraId="28581FE5" w14:textId="54750A40" w:rsidR="00100ED9" w:rsidRDefault="00100ED9" w:rsidP="00100ED9">
      <w:pPr>
        <w:pStyle w:val="RAN4H2"/>
        <w:rPr>
          <w:lang w:val="en-US"/>
        </w:rPr>
      </w:pPr>
      <w:r>
        <w:rPr>
          <w:lang w:val="en-US"/>
        </w:rPr>
        <w:t xml:space="preserve">Downlink Coverage Enhancements </w:t>
      </w:r>
    </w:p>
    <w:p w14:paraId="5AE82169" w14:textId="501261C9" w:rsidR="00100ED9" w:rsidRDefault="00100ED9" w:rsidP="00100ED9">
      <w:pPr>
        <w:rPr>
          <w:lang w:val="en-US"/>
        </w:rPr>
      </w:pPr>
      <w:r>
        <w:rPr>
          <w:lang w:val="en-US"/>
        </w:rPr>
        <w:t xml:space="preserve">RAN1 has already made some progress in their discussions regarding the DL coverage enhancements, and there is some indication that the SSB periodicity might be extended, which might require some analysis from RAN4 to whether this modification will impact the </w:t>
      </w:r>
      <w:proofErr w:type="gramStart"/>
      <w:r>
        <w:rPr>
          <w:lang w:val="en-US"/>
        </w:rPr>
        <w:t>system</w:t>
      </w:r>
      <w:proofErr w:type="gramEnd"/>
      <w:r>
        <w:rPr>
          <w:lang w:val="en-US"/>
        </w:rPr>
        <w:t xml:space="preserve"> and the mobility delays observed in the network (Issues 2-1-1, 2-2-1 in the WF). </w:t>
      </w:r>
    </w:p>
    <w:p w14:paraId="2C796A01" w14:textId="74776CF3" w:rsidR="00100ED9" w:rsidRDefault="00100ED9" w:rsidP="00100ED9">
      <w:pPr>
        <w:rPr>
          <w:lang w:val="en-US"/>
        </w:rPr>
      </w:pPr>
      <w:r>
        <w:rPr>
          <w:lang w:val="en-US"/>
        </w:rPr>
        <w:t>It is our understanding that the most recent RAN1 progress is indicated below(highlights are our own):</w:t>
      </w:r>
    </w:p>
    <w:p w14:paraId="0131FB2A" w14:textId="77777777" w:rsidR="00100ED9" w:rsidRPr="00100ED9" w:rsidRDefault="00100ED9" w:rsidP="00100ED9">
      <w:pPr>
        <w:rPr>
          <w:lang w:val="en-US"/>
        </w:rPr>
      </w:pPr>
    </w:p>
    <w:tbl>
      <w:tblPr>
        <w:tblStyle w:val="TableGrid"/>
        <w:tblW w:w="0" w:type="auto"/>
        <w:tblLook w:val="04A0" w:firstRow="1" w:lastRow="0" w:firstColumn="1" w:lastColumn="0" w:noHBand="0" w:noVBand="1"/>
      </w:tblPr>
      <w:tblGrid>
        <w:gridCol w:w="9617"/>
      </w:tblGrid>
      <w:tr w:rsidR="00100ED9" w14:paraId="6172C807" w14:textId="77777777" w:rsidTr="00100ED9">
        <w:tc>
          <w:tcPr>
            <w:tcW w:w="9617" w:type="dxa"/>
          </w:tcPr>
          <w:p w14:paraId="1B60A4D6" w14:textId="77777777" w:rsidR="00100ED9" w:rsidRPr="00100ED9" w:rsidRDefault="00100ED9" w:rsidP="00100ED9">
            <w:pPr>
              <w:rPr>
                <w:b/>
                <w:bCs/>
                <w:u w:val="single"/>
              </w:rPr>
            </w:pPr>
            <w:r w:rsidRPr="00100ED9">
              <w:rPr>
                <w:b/>
                <w:bCs/>
                <w:u w:val="single"/>
                <w:lang w:val="en-US"/>
              </w:rPr>
              <w:lastRenderedPageBreak/>
              <w:t>Agreement</w:t>
            </w:r>
          </w:p>
          <w:p w14:paraId="65A075FD" w14:textId="77777777" w:rsidR="00100ED9" w:rsidRPr="00100ED9" w:rsidRDefault="00100ED9" w:rsidP="00100ED9">
            <w:r w:rsidRPr="00100ED9">
              <w:rPr>
                <w:lang w:val="en-US"/>
              </w:rPr>
              <w:t xml:space="preserve">As part of the NTN DL coverage enhancements at both system level and link level, </w:t>
            </w:r>
            <w:r w:rsidRPr="00100ED9">
              <w:rPr>
                <w:highlight w:val="green"/>
                <w:lang w:val="en-US"/>
              </w:rPr>
              <w:t>RAN1 to consider</w:t>
            </w:r>
            <w:r w:rsidRPr="00100ED9">
              <w:rPr>
                <w:lang w:val="en-US"/>
              </w:rPr>
              <w:t>:</w:t>
            </w:r>
          </w:p>
          <w:p w14:paraId="57DB595A" w14:textId="77777777" w:rsidR="00100ED9" w:rsidRPr="00100ED9" w:rsidRDefault="00100ED9" w:rsidP="00100ED9">
            <w:pPr>
              <w:numPr>
                <w:ilvl w:val="0"/>
                <w:numId w:val="36"/>
              </w:numPr>
            </w:pPr>
            <w:r w:rsidRPr="00100ED9">
              <w:t xml:space="preserve">Extending the periodicity of the half frames with SS/PBCH blocks assumed by UE during initial access. </w:t>
            </w:r>
          </w:p>
          <w:p w14:paraId="14FFC7DC" w14:textId="77777777" w:rsidR="00100ED9" w:rsidRPr="00100ED9" w:rsidRDefault="00100ED9" w:rsidP="00100ED9">
            <w:pPr>
              <w:numPr>
                <w:ilvl w:val="1"/>
                <w:numId w:val="36"/>
              </w:numPr>
            </w:pPr>
            <w:r w:rsidRPr="00100ED9">
              <w:t xml:space="preserve">Default value[s] with extended periodicity assumed by NTN UE </w:t>
            </w:r>
            <w:r w:rsidRPr="00100ED9">
              <w:rPr>
                <w:highlight w:val="green"/>
              </w:rPr>
              <w:t>for initial access can be:</w:t>
            </w:r>
          </w:p>
          <w:p w14:paraId="33A3078F" w14:textId="77777777" w:rsidR="00100ED9" w:rsidRPr="00100ED9" w:rsidRDefault="00100ED9" w:rsidP="00100ED9">
            <w:pPr>
              <w:numPr>
                <w:ilvl w:val="2"/>
                <w:numId w:val="36"/>
              </w:numPr>
            </w:pPr>
            <w:r w:rsidRPr="00100ED9">
              <w:rPr>
                <w:highlight w:val="green"/>
              </w:rPr>
              <w:t>One [or more] values from the list</w:t>
            </w:r>
            <w:r w:rsidRPr="00100ED9">
              <w:t xml:space="preserve"> {40ms, 80 </w:t>
            </w:r>
            <w:proofErr w:type="spellStart"/>
            <w:r w:rsidRPr="00100ED9">
              <w:t>ms</w:t>
            </w:r>
            <w:proofErr w:type="spellEnd"/>
            <w:r w:rsidRPr="00100ED9">
              <w:t xml:space="preserve">, 160 </w:t>
            </w:r>
            <w:proofErr w:type="spellStart"/>
            <w:r w:rsidRPr="00100ED9">
              <w:t>ms</w:t>
            </w:r>
            <w:proofErr w:type="spellEnd"/>
            <w:r w:rsidRPr="00100ED9">
              <w:t xml:space="preserve">, 320ms, 640ms} </w:t>
            </w:r>
          </w:p>
          <w:p w14:paraId="1065BB1D" w14:textId="77777777" w:rsidR="00100ED9" w:rsidRPr="00100ED9" w:rsidRDefault="00100ED9" w:rsidP="00100ED9">
            <w:pPr>
              <w:numPr>
                <w:ilvl w:val="0"/>
                <w:numId w:val="36"/>
              </w:numPr>
            </w:pPr>
            <w:r w:rsidRPr="00100ED9">
              <w:t>Potential enhancements for transmitting the DL common channels using a wider beam footprint, while DL/UL dedicated channels (incl. PRACH) may be transmitted using a narrower beam footprint</w:t>
            </w:r>
          </w:p>
          <w:p w14:paraId="29C809EC" w14:textId="77777777" w:rsidR="00100ED9" w:rsidRPr="00100ED9" w:rsidRDefault="00100ED9" w:rsidP="00100ED9">
            <w:pPr>
              <w:numPr>
                <w:ilvl w:val="0"/>
                <w:numId w:val="36"/>
              </w:numPr>
            </w:pPr>
            <w:r w:rsidRPr="00100ED9">
              <w:t>Link-level enhancements for the following channels:</w:t>
            </w:r>
          </w:p>
          <w:p w14:paraId="7A317A06" w14:textId="77777777" w:rsidR="00100ED9" w:rsidRPr="00100ED9" w:rsidRDefault="00100ED9" w:rsidP="00100ED9">
            <w:pPr>
              <w:numPr>
                <w:ilvl w:val="1"/>
                <w:numId w:val="36"/>
              </w:numPr>
            </w:pPr>
            <w:r w:rsidRPr="00100ED9">
              <w:t xml:space="preserve">PDCCH </w:t>
            </w:r>
          </w:p>
          <w:p w14:paraId="57232978" w14:textId="77777777" w:rsidR="00100ED9" w:rsidRPr="00100ED9" w:rsidRDefault="00100ED9" w:rsidP="00100ED9">
            <w:pPr>
              <w:numPr>
                <w:ilvl w:val="1"/>
                <w:numId w:val="36"/>
              </w:numPr>
            </w:pPr>
            <w:r w:rsidRPr="00100ED9">
              <w:t xml:space="preserve">PDSCH with </w:t>
            </w:r>
            <w:proofErr w:type="spellStart"/>
            <w:r w:rsidRPr="00100ED9">
              <w:t>Msg</w:t>
            </w:r>
            <w:proofErr w:type="spellEnd"/>
            <w:r w:rsidRPr="00100ED9">
              <w:t xml:space="preserve"> 4 </w:t>
            </w:r>
          </w:p>
          <w:p w14:paraId="7AFAD302" w14:textId="77777777" w:rsidR="00100ED9" w:rsidRPr="00100ED9" w:rsidRDefault="00100ED9" w:rsidP="00100ED9">
            <w:pPr>
              <w:numPr>
                <w:ilvl w:val="1"/>
                <w:numId w:val="36"/>
              </w:numPr>
            </w:pPr>
            <w:r w:rsidRPr="00100ED9">
              <w:t>PDSCH with SIB1/SIB19.</w:t>
            </w:r>
          </w:p>
          <w:p w14:paraId="037DDB95" w14:textId="77777777" w:rsidR="00100ED9" w:rsidRPr="00100ED9" w:rsidRDefault="00100ED9" w:rsidP="00100ED9">
            <w:pPr>
              <w:numPr>
                <w:ilvl w:val="2"/>
                <w:numId w:val="36"/>
              </w:numPr>
            </w:pPr>
            <w:r w:rsidRPr="00100ED9">
              <w:t>Note: link-level enhancements for PDSCH with SIB1/SIB19 may be applicable to other SIBs, without additional specification impact.</w:t>
            </w:r>
          </w:p>
          <w:p w14:paraId="0E5D8D51" w14:textId="77777777" w:rsidR="00100ED9" w:rsidRPr="00100ED9" w:rsidRDefault="00100ED9" w:rsidP="00100ED9">
            <w:pPr>
              <w:numPr>
                <w:ilvl w:val="1"/>
                <w:numId w:val="36"/>
              </w:numPr>
            </w:pPr>
            <w:r w:rsidRPr="00100ED9">
              <w:t>Note: the above does not imply that all the channels above will be enhanced, but all of them should be considered based on this agreement</w:t>
            </w:r>
          </w:p>
          <w:p w14:paraId="448C9D13" w14:textId="77777777" w:rsidR="00100ED9" w:rsidRPr="00100ED9" w:rsidRDefault="00100ED9" w:rsidP="00100ED9"/>
        </w:tc>
      </w:tr>
    </w:tbl>
    <w:p w14:paraId="2DAFF894" w14:textId="77777777" w:rsidR="00100ED9" w:rsidRDefault="00100ED9" w:rsidP="00100ED9">
      <w:pPr>
        <w:rPr>
          <w:lang w:val="en-US"/>
        </w:rPr>
      </w:pPr>
    </w:p>
    <w:p w14:paraId="7D1531EE" w14:textId="6354C85E" w:rsidR="00A04CE9" w:rsidRDefault="00F3573F" w:rsidP="00100ED9">
      <w:pPr>
        <w:rPr>
          <w:lang w:val="en-US"/>
        </w:rPr>
      </w:pPr>
      <w:r>
        <w:rPr>
          <w:lang w:val="en-US"/>
        </w:rPr>
        <w:t xml:space="preserve">It is our understanding that there is the intention to increase the SSB periodicity, but there is still no agreement on the values to be considered and values from 40 to 640 </w:t>
      </w:r>
      <w:proofErr w:type="spellStart"/>
      <w:r>
        <w:rPr>
          <w:lang w:val="en-US"/>
        </w:rPr>
        <w:t>ms</w:t>
      </w:r>
      <w:proofErr w:type="spellEnd"/>
      <w:r>
        <w:rPr>
          <w:lang w:val="en-US"/>
        </w:rPr>
        <w:t xml:space="preserve"> are being considered.  </w:t>
      </w:r>
      <w:r w:rsidR="00A04CE9">
        <w:rPr>
          <w:lang w:val="en-US"/>
        </w:rPr>
        <w:t xml:space="preserve"> This is also confirmed in RAN1 </w:t>
      </w:r>
      <w:proofErr w:type="gramStart"/>
      <w:r w:rsidR="00A04CE9">
        <w:rPr>
          <w:lang w:val="en-US"/>
        </w:rPr>
        <w:t>reply</w:t>
      </w:r>
      <w:proofErr w:type="gramEnd"/>
      <w:r w:rsidR="00A04CE9">
        <w:rPr>
          <w:lang w:val="en-US"/>
        </w:rPr>
        <w:t xml:space="preserve"> LS to RAN2 presented in </w:t>
      </w:r>
      <w:r w:rsidR="00A04CE9">
        <w:rPr>
          <w:lang w:val="en-US"/>
        </w:rPr>
        <w:fldChar w:fldCharType="begin"/>
      </w:r>
      <w:r w:rsidR="00A04CE9">
        <w:rPr>
          <w:lang w:val="en-US"/>
        </w:rPr>
        <w:instrText xml:space="preserve"> REF _Ref178962831 \r \h </w:instrText>
      </w:r>
      <w:r w:rsidR="00A04CE9">
        <w:rPr>
          <w:lang w:val="en-US"/>
        </w:rPr>
      </w:r>
      <w:r w:rsidR="00A04CE9">
        <w:rPr>
          <w:lang w:val="en-US"/>
        </w:rPr>
        <w:fldChar w:fldCharType="separate"/>
      </w:r>
      <w:r w:rsidR="00A04CE9">
        <w:rPr>
          <w:lang w:val="en-US"/>
        </w:rPr>
        <w:t>[5]</w:t>
      </w:r>
      <w:r w:rsidR="00A04CE9">
        <w:rPr>
          <w:lang w:val="en-US"/>
        </w:rPr>
        <w:fldChar w:fldCharType="end"/>
      </w:r>
      <w:r w:rsidR="00A04CE9">
        <w:rPr>
          <w:lang w:val="en-US"/>
        </w:rPr>
        <w:t xml:space="preserve">. </w:t>
      </w:r>
    </w:p>
    <w:tbl>
      <w:tblPr>
        <w:tblStyle w:val="TableGrid"/>
        <w:tblW w:w="0" w:type="auto"/>
        <w:tblLook w:val="04A0" w:firstRow="1" w:lastRow="0" w:firstColumn="1" w:lastColumn="0" w:noHBand="0" w:noVBand="1"/>
      </w:tblPr>
      <w:tblGrid>
        <w:gridCol w:w="9617"/>
      </w:tblGrid>
      <w:tr w:rsidR="00A04CE9" w14:paraId="667C103D" w14:textId="77777777" w:rsidTr="00A04CE9">
        <w:tc>
          <w:tcPr>
            <w:tcW w:w="9617" w:type="dxa"/>
          </w:tcPr>
          <w:p w14:paraId="399D6CB0" w14:textId="77777777" w:rsidR="00A04CE9" w:rsidRPr="00A04CE9" w:rsidRDefault="00A04CE9" w:rsidP="00A04CE9">
            <w:pPr>
              <w:rPr>
                <w:bCs/>
                <w:iCs/>
              </w:rPr>
            </w:pPr>
            <w:r w:rsidRPr="00A04CE9">
              <w:rPr>
                <w:bCs/>
                <w:iCs/>
              </w:rPr>
              <w:t xml:space="preserve">According to the updated WID (RP-241667), SSB enhancement other than SSB periodicity extension is not considered. Thereby, RAN1 understanding is that enhancements to the existing SSB patterns, e.g. SSB position in burst, SSB index number, are not within the scope. </w:t>
            </w:r>
          </w:p>
          <w:p w14:paraId="675F764D" w14:textId="77777777" w:rsidR="00A04CE9" w:rsidRPr="00A04CE9" w:rsidRDefault="00A04CE9" w:rsidP="00A04CE9">
            <w:pPr>
              <w:rPr>
                <w:bCs/>
                <w:iCs/>
              </w:rPr>
            </w:pPr>
            <w:r w:rsidRPr="00A04CE9">
              <w:rPr>
                <w:bCs/>
                <w:iCs/>
                <w:highlight w:val="green"/>
              </w:rPr>
              <w:t>The extension of the SSB periodicity is still under RAN1’s discussion.</w:t>
            </w:r>
          </w:p>
          <w:p w14:paraId="02829433" w14:textId="460536A7" w:rsidR="00A04CE9" w:rsidRPr="00A04CE9" w:rsidRDefault="00A04CE9" w:rsidP="00100ED9"/>
        </w:tc>
      </w:tr>
    </w:tbl>
    <w:p w14:paraId="1B8DACCA" w14:textId="77777777" w:rsidR="00A04CE9" w:rsidRDefault="00A04CE9" w:rsidP="00100ED9">
      <w:pPr>
        <w:rPr>
          <w:lang w:val="en-US"/>
        </w:rPr>
      </w:pPr>
    </w:p>
    <w:p w14:paraId="32663784" w14:textId="3129617C" w:rsidR="00F3573F" w:rsidRDefault="00F3573F" w:rsidP="00100ED9">
      <w:pPr>
        <w:rPr>
          <w:lang w:val="en-US"/>
        </w:rPr>
      </w:pPr>
      <w:r>
        <w:rPr>
          <w:lang w:val="en-US"/>
        </w:rPr>
        <w:t xml:space="preserve">Therefore, it is premature for RAN4 to start </w:t>
      </w:r>
      <w:r w:rsidR="002F4455" w:rsidRPr="002F4455">
        <w:rPr>
          <w:b/>
          <w:bCs/>
          <w:u w:val="single"/>
          <w:lang w:val="en-US"/>
        </w:rPr>
        <w:t>detailed</w:t>
      </w:r>
      <w:r w:rsidR="002F4455">
        <w:rPr>
          <w:lang w:val="en-US"/>
        </w:rPr>
        <w:t xml:space="preserve"> </w:t>
      </w:r>
      <w:r>
        <w:rPr>
          <w:lang w:val="en-US"/>
        </w:rPr>
        <w:t xml:space="preserve">analysis on the impact of the enlarged SSB periodicity considering there is no agreement in these values. </w:t>
      </w:r>
      <w:r w:rsidR="002F4455">
        <w:rPr>
          <w:lang w:val="en-US"/>
        </w:rPr>
        <w:t xml:space="preserve"> It is a good practice, on the other hand, to perform a general analysis on potential impacts. </w:t>
      </w:r>
    </w:p>
    <w:p w14:paraId="21B6CB84" w14:textId="5A6D0BC0" w:rsidR="00F3573F" w:rsidRDefault="00F3573F" w:rsidP="00100ED9">
      <w:pPr>
        <w:rPr>
          <w:lang w:val="en-US"/>
        </w:rPr>
      </w:pPr>
      <w:r>
        <w:rPr>
          <w:lang w:val="en-US"/>
        </w:rPr>
        <w:t xml:space="preserve">From our point of view, initial cell search is beyond the scope of RAN4 RRM, as there are no requirements for this procedure. Enhancements associated to cell search are defined </w:t>
      </w:r>
      <w:proofErr w:type="gramStart"/>
      <w:r>
        <w:rPr>
          <w:lang w:val="en-US"/>
        </w:rPr>
        <w:t>in order to</w:t>
      </w:r>
      <w:proofErr w:type="gramEnd"/>
      <w:r>
        <w:rPr>
          <w:lang w:val="en-US"/>
        </w:rPr>
        <w:t xml:space="preserve"> aid the UE to find a cell as soon as possible. </w:t>
      </w:r>
    </w:p>
    <w:p w14:paraId="4A1D0276" w14:textId="0191D7C9" w:rsidR="00F3573F" w:rsidRDefault="00F3573F" w:rsidP="00F3573F">
      <w:pPr>
        <w:pStyle w:val="RAN4observation0"/>
        <w:rPr>
          <w:lang w:val="en-US"/>
        </w:rPr>
      </w:pPr>
      <w:bookmarkStart w:id="11" w:name="_Toc179195613"/>
      <w:r>
        <w:rPr>
          <w:lang w:val="en-US"/>
        </w:rPr>
        <w:t>Cell search optimizations are beyond the scope of RRM in RAN4.</w:t>
      </w:r>
      <w:bookmarkEnd w:id="11"/>
      <w:r>
        <w:rPr>
          <w:lang w:val="en-US"/>
        </w:rPr>
        <w:t xml:space="preserve"> </w:t>
      </w:r>
    </w:p>
    <w:p w14:paraId="22C27DA6" w14:textId="254514AA" w:rsidR="00F3573F" w:rsidRDefault="00F3573F" w:rsidP="00F3573F">
      <w:pPr>
        <w:rPr>
          <w:lang w:val="en-US"/>
        </w:rPr>
      </w:pPr>
      <w:r>
        <w:rPr>
          <w:lang w:val="en-US"/>
        </w:rPr>
        <w:t xml:space="preserve">For cell re-selection and other neighbor cell measurements, most of the </w:t>
      </w:r>
      <w:r w:rsidR="002F4455">
        <w:rPr>
          <w:lang w:val="en-US"/>
        </w:rPr>
        <w:t xml:space="preserve">requirements were designed using TN specs as baseline, and they assume that the SSB periodicity could be already larger than 20 </w:t>
      </w:r>
      <w:proofErr w:type="spellStart"/>
      <w:r w:rsidR="002F4455">
        <w:rPr>
          <w:lang w:val="en-US"/>
        </w:rPr>
        <w:t>ms</w:t>
      </w:r>
      <w:proofErr w:type="spellEnd"/>
      <w:r w:rsidR="002F4455">
        <w:rPr>
          <w:lang w:val="en-US"/>
        </w:rPr>
        <w:t xml:space="preserve">, because, in fact, for PSS and SSS detection the periodicity of the SMTC was considered the baseline, not the periodicity of the SSB. </w:t>
      </w:r>
    </w:p>
    <w:p w14:paraId="3B76885B" w14:textId="35C197F7" w:rsidR="002F4455" w:rsidRDefault="002F4455" w:rsidP="002F4455">
      <w:pPr>
        <w:pStyle w:val="RAN4observation0"/>
        <w:rPr>
          <w:lang w:val="en-US"/>
        </w:rPr>
      </w:pPr>
      <w:bookmarkStart w:id="12" w:name="_Toc179195614"/>
      <w:r>
        <w:rPr>
          <w:lang w:val="en-US"/>
        </w:rPr>
        <w:t>For neighbor cell measurements, the periodicity of the SMTC (and not the periodicity of the SSB) is the baseline.</w:t>
      </w:r>
      <w:bookmarkEnd w:id="12"/>
    </w:p>
    <w:p w14:paraId="2DBC5F63" w14:textId="361350B4" w:rsidR="002F4455" w:rsidRDefault="002F4455" w:rsidP="002F4455">
      <w:pPr>
        <w:rPr>
          <w:lang w:val="en-US"/>
        </w:rPr>
      </w:pPr>
      <w:r>
        <w:rPr>
          <w:lang w:val="en-US"/>
        </w:rPr>
        <w:t xml:space="preserve">The periodicity of the SMTC could already be above 20 </w:t>
      </w:r>
      <w:proofErr w:type="spellStart"/>
      <w:r>
        <w:rPr>
          <w:lang w:val="en-US"/>
        </w:rPr>
        <w:t>ms</w:t>
      </w:r>
      <w:proofErr w:type="spellEnd"/>
      <w:r>
        <w:rPr>
          <w:lang w:val="en-US"/>
        </w:rPr>
        <w:t xml:space="preserve"> in NTN, which is exemplified for example by NOTE1 in Table 4.2C.2.3-1 in TS 38.133</w:t>
      </w:r>
    </w:p>
    <w:tbl>
      <w:tblPr>
        <w:tblStyle w:val="TableGrid"/>
        <w:tblW w:w="0" w:type="auto"/>
        <w:tblLook w:val="04A0" w:firstRow="1" w:lastRow="0" w:firstColumn="1" w:lastColumn="0" w:noHBand="0" w:noVBand="1"/>
      </w:tblPr>
      <w:tblGrid>
        <w:gridCol w:w="9617"/>
      </w:tblGrid>
      <w:tr w:rsidR="002F4455" w14:paraId="0C622DCA" w14:textId="77777777" w:rsidTr="002F4455">
        <w:tc>
          <w:tcPr>
            <w:tcW w:w="9617" w:type="dxa"/>
          </w:tcPr>
          <w:p w14:paraId="2BFCE04B" w14:textId="77777777" w:rsidR="002F4455" w:rsidRDefault="002F4455" w:rsidP="002F4455">
            <w:pPr>
              <w:rPr>
                <w:lang w:val="en-US"/>
              </w:rPr>
            </w:pPr>
            <w:r w:rsidRPr="002F4455">
              <w:rPr>
                <w:lang w:val="en-US"/>
              </w:rPr>
              <w:t>Note 1:</w:t>
            </w:r>
            <w:r w:rsidRPr="002F4455">
              <w:rPr>
                <w:lang w:val="en-US"/>
              </w:rPr>
              <w:tab/>
              <w:t xml:space="preserve">M2 = 2 if SMTC periodicity of measured intra-frequency cell &gt; 20 </w:t>
            </w:r>
            <w:proofErr w:type="spellStart"/>
            <w:r w:rsidRPr="002F4455">
              <w:rPr>
                <w:lang w:val="en-US"/>
              </w:rPr>
              <w:t>ms</w:t>
            </w:r>
            <w:proofErr w:type="spellEnd"/>
            <w:r w:rsidRPr="002F4455">
              <w:rPr>
                <w:lang w:val="en-US"/>
              </w:rPr>
              <w:t xml:space="preserve"> and 1&lt;N</w:t>
            </w:r>
            <w:r w:rsidRPr="002F4455">
              <w:rPr>
                <w:vertAlign w:val="subscript"/>
                <w:lang w:val="en-US"/>
              </w:rPr>
              <w:t>SMTC</w:t>
            </w:r>
            <w:r w:rsidRPr="002F4455">
              <w:rPr>
                <w:lang w:val="en-US"/>
              </w:rPr>
              <w:t xml:space="preserve"> </w:t>
            </w:r>
            <w:r w:rsidRPr="002F4455">
              <w:rPr>
                <w:lang w:val="en-US"/>
              </w:rPr>
              <w:sym w:font="Symbol" w:char="F0A3"/>
            </w:r>
            <w:r w:rsidRPr="002F4455">
              <w:rPr>
                <w:lang w:val="en-US"/>
              </w:rPr>
              <w:t xml:space="preserve"> 4 upon more than 1 SMTC configured at the UE; M2 = 1.5 if </w:t>
            </w:r>
            <w:r w:rsidRPr="002F4455">
              <w:rPr>
                <w:highlight w:val="green"/>
                <w:lang w:val="en-US"/>
              </w:rPr>
              <w:t xml:space="preserve">SMTC periodicity of measured intra-frequency cell &gt; 20 </w:t>
            </w:r>
            <w:proofErr w:type="spellStart"/>
            <w:r w:rsidRPr="002F4455">
              <w:rPr>
                <w:highlight w:val="green"/>
                <w:lang w:val="en-US"/>
              </w:rPr>
              <w:t>m</w:t>
            </w:r>
            <w:r w:rsidRPr="002F4455">
              <w:rPr>
                <w:lang w:val="en-US"/>
              </w:rPr>
              <w:t>s</w:t>
            </w:r>
            <w:proofErr w:type="spellEnd"/>
            <w:r w:rsidRPr="002F4455">
              <w:rPr>
                <w:lang w:val="en-US"/>
              </w:rPr>
              <w:t xml:space="preserve"> and N</w:t>
            </w:r>
            <w:r w:rsidRPr="002F4455">
              <w:rPr>
                <w:vertAlign w:val="subscript"/>
                <w:lang w:val="en-US"/>
              </w:rPr>
              <w:t>SMTC</w:t>
            </w:r>
            <w:r w:rsidRPr="002F4455">
              <w:rPr>
                <w:lang w:val="en-US"/>
              </w:rPr>
              <w:t>=1 upon 1 SMTC configured at the UE; otherwise M2=1. Where, N</w:t>
            </w:r>
            <w:r w:rsidRPr="002F4455">
              <w:rPr>
                <w:vertAlign w:val="subscript"/>
                <w:lang w:val="en-US"/>
              </w:rPr>
              <w:t>SMTC</w:t>
            </w:r>
            <w:r w:rsidRPr="002F4455">
              <w:rPr>
                <w:lang w:val="en-US"/>
              </w:rPr>
              <w:t xml:space="preserve"> is the number of SMTCs configured by SAN If different SMTC periodicities are configured for different cells, the SMTC periodicity in this note is the one used by the cell being identified.</w:t>
            </w:r>
          </w:p>
          <w:p w14:paraId="7F0A9F17" w14:textId="06209B92" w:rsidR="002F4455" w:rsidRPr="002F4455" w:rsidRDefault="002F4455" w:rsidP="002F4455">
            <w:pPr>
              <w:rPr>
                <w:lang w:val="en-US"/>
              </w:rPr>
            </w:pPr>
            <w:r w:rsidRPr="002F4455">
              <w:rPr>
                <w:lang w:val="en-US"/>
              </w:rPr>
              <w:t xml:space="preserve"> </w:t>
            </w:r>
            <w:r w:rsidRPr="002F4455">
              <w:rPr>
                <w:highlight w:val="green"/>
                <w:lang w:val="en-US"/>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2F4455">
              <w:rPr>
                <w:highlight w:val="green"/>
                <w:lang w:val="en-US"/>
              </w:rPr>
              <w:t>T</w:t>
            </w:r>
            <w:r w:rsidRPr="002F4455">
              <w:rPr>
                <w:highlight w:val="green"/>
                <w:vertAlign w:val="subscript"/>
                <w:lang w:val="en-US"/>
              </w:rPr>
              <w:t>detect</w:t>
            </w:r>
            <w:proofErr w:type="spellEnd"/>
            <w:r w:rsidRPr="002F4455">
              <w:rPr>
                <w:highlight w:val="green"/>
                <w:vertAlign w:val="subscript"/>
                <w:lang w:val="en-US"/>
              </w:rPr>
              <w:t xml:space="preserve">, </w:t>
            </w:r>
            <w:proofErr w:type="spellStart"/>
            <w:r w:rsidRPr="002F4455">
              <w:rPr>
                <w:highlight w:val="green"/>
                <w:vertAlign w:val="subscript"/>
                <w:lang w:val="en-US"/>
              </w:rPr>
              <w:t>NR_intra</w:t>
            </w:r>
            <w:proofErr w:type="spellEnd"/>
            <w:r w:rsidRPr="002F4455">
              <w:rPr>
                <w:highlight w:val="green"/>
                <w:vertAlign w:val="subscript"/>
                <w:lang w:val="en-US"/>
              </w:rPr>
              <w:t xml:space="preserve"> </w:t>
            </w:r>
            <w:r w:rsidRPr="002F4455">
              <w:rPr>
                <w:highlight w:val="green"/>
                <w:lang w:val="en-US"/>
              </w:rPr>
              <w:t>is expected.</w:t>
            </w:r>
          </w:p>
          <w:p w14:paraId="2E018BEF" w14:textId="77777777" w:rsidR="002F4455" w:rsidRDefault="002F4455" w:rsidP="002F4455">
            <w:pPr>
              <w:rPr>
                <w:lang w:val="en-US"/>
              </w:rPr>
            </w:pPr>
          </w:p>
        </w:tc>
      </w:tr>
    </w:tbl>
    <w:p w14:paraId="4A2753F3" w14:textId="77777777" w:rsidR="002F4455" w:rsidRDefault="002F4455" w:rsidP="002F4455">
      <w:pPr>
        <w:rPr>
          <w:lang w:val="en-US"/>
        </w:rPr>
      </w:pPr>
    </w:p>
    <w:p w14:paraId="6A0684E7" w14:textId="316C9A10" w:rsidR="009716BB" w:rsidRDefault="009716BB" w:rsidP="002F4455">
      <w:pPr>
        <w:rPr>
          <w:lang w:val="en-US"/>
        </w:rPr>
      </w:pPr>
      <w:r>
        <w:rPr>
          <w:lang w:val="en-US"/>
        </w:rPr>
        <w:t xml:space="preserve">For that matter, we think that current values of SMTC and SSB periodicity allowed in specification are already covered in NTN specifications (up to 160 </w:t>
      </w:r>
      <w:proofErr w:type="spellStart"/>
      <w:r>
        <w:rPr>
          <w:lang w:val="en-US"/>
        </w:rPr>
        <w:t>ms</w:t>
      </w:r>
      <w:proofErr w:type="spellEnd"/>
      <w:r>
        <w:rPr>
          <w:lang w:val="en-US"/>
        </w:rPr>
        <w:t xml:space="preserve">). </w:t>
      </w:r>
      <w:proofErr w:type="gramStart"/>
      <w:r>
        <w:rPr>
          <w:lang w:val="en-US"/>
        </w:rPr>
        <w:t>Therefore</w:t>
      </w:r>
      <w:proofErr w:type="gramEnd"/>
      <w:r>
        <w:rPr>
          <w:lang w:val="en-US"/>
        </w:rPr>
        <w:t xml:space="preserve"> we think that RAN1 progress might impact current RRM </w:t>
      </w:r>
      <w:r>
        <w:rPr>
          <w:lang w:val="en-US"/>
        </w:rPr>
        <w:lastRenderedPageBreak/>
        <w:t xml:space="preserve">specifications only in the configurations that were unforeseen (SMTC and SSB periodicity above 160 </w:t>
      </w:r>
      <w:proofErr w:type="spellStart"/>
      <w:r>
        <w:rPr>
          <w:lang w:val="en-US"/>
        </w:rPr>
        <w:t>ms</w:t>
      </w:r>
      <w:proofErr w:type="spellEnd"/>
      <w:r>
        <w:rPr>
          <w:lang w:val="en-US"/>
        </w:rPr>
        <w:t xml:space="preserve">) in Rel-17 NTN or that were not fully properly well defined (SMTC periodicity smaller than SSB periodicity). </w:t>
      </w:r>
    </w:p>
    <w:p w14:paraId="1517A44F" w14:textId="50EAF94F" w:rsidR="009716BB" w:rsidRPr="002F4455" w:rsidRDefault="009716BB" w:rsidP="009716BB">
      <w:pPr>
        <w:pStyle w:val="RAN4proposal"/>
        <w:rPr>
          <w:lang w:val="en-US"/>
        </w:rPr>
      </w:pPr>
      <w:bookmarkStart w:id="13" w:name="_Toc179195615"/>
      <w:r>
        <w:rPr>
          <w:lang w:val="en-US"/>
        </w:rPr>
        <w:t xml:space="preserve">Consider impact on neighbor cell measurements only if RAN1 agrees on SMTC/SSB periodicity above 160 </w:t>
      </w:r>
      <w:proofErr w:type="spellStart"/>
      <w:r>
        <w:rPr>
          <w:lang w:val="en-US"/>
        </w:rPr>
        <w:t>ms</w:t>
      </w:r>
      <w:proofErr w:type="spellEnd"/>
      <w:r>
        <w:rPr>
          <w:lang w:val="en-US"/>
        </w:rPr>
        <w:t>, or if the larger SMTC period allowed in specification becomes smaller than the larger SSB periodicity.</w:t>
      </w:r>
      <w:bookmarkEnd w:id="13"/>
      <w:r>
        <w:rPr>
          <w:lang w:val="en-US"/>
        </w:rPr>
        <w:t xml:space="preserve">  </w:t>
      </w:r>
    </w:p>
    <w:p w14:paraId="72854DA4" w14:textId="495ABDE4" w:rsidR="00F3573F" w:rsidRDefault="009716BB" w:rsidP="009716BB">
      <w:pPr>
        <w:pStyle w:val="RAN4H3"/>
        <w:rPr>
          <w:lang w:val="en-US"/>
        </w:rPr>
      </w:pPr>
      <w:r>
        <w:rPr>
          <w:lang w:val="en-US"/>
        </w:rPr>
        <w:t>Beam switching related issues</w:t>
      </w:r>
    </w:p>
    <w:p w14:paraId="10FB6A43" w14:textId="12122694" w:rsidR="00A04CE9" w:rsidRDefault="00A04CE9" w:rsidP="00A04CE9">
      <w:pPr>
        <w:pStyle w:val="RAN4H3"/>
        <w:numPr>
          <w:ilvl w:val="0"/>
          <w:numId w:val="0"/>
        </w:numPr>
        <w:rPr>
          <w:lang w:val="en-US"/>
        </w:rPr>
      </w:pPr>
      <w:r>
        <w:rPr>
          <w:lang w:val="en-US"/>
        </w:rPr>
        <w:t>In the previous WF, the following open issue was identified:</w:t>
      </w:r>
    </w:p>
    <w:tbl>
      <w:tblPr>
        <w:tblStyle w:val="TableGrid"/>
        <w:tblW w:w="0" w:type="auto"/>
        <w:tblLook w:val="04A0" w:firstRow="1" w:lastRow="0" w:firstColumn="1" w:lastColumn="0" w:noHBand="0" w:noVBand="1"/>
      </w:tblPr>
      <w:tblGrid>
        <w:gridCol w:w="9617"/>
      </w:tblGrid>
      <w:tr w:rsidR="00A04CE9" w14:paraId="0FFB833F" w14:textId="77777777" w:rsidTr="00A04CE9">
        <w:tc>
          <w:tcPr>
            <w:tcW w:w="9617" w:type="dxa"/>
          </w:tcPr>
          <w:p w14:paraId="035D2974" w14:textId="77777777" w:rsidR="00A04CE9" w:rsidRPr="00A04CE9" w:rsidRDefault="00A04CE9" w:rsidP="00A04CE9">
            <w:pPr>
              <w:spacing w:before="120" w:after="120"/>
              <w:ind w:left="540"/>
              <w:rPr>
                <w:rFonts w:eastAsia="Times New Roman" w:cs="Times New Roman"/>
                <w:szCs w:val="20"/>
                <w:lang w:val="en-US" w:eastAsia="zh-CN"/>
              </w:rPr>
            </w:pPr>
            <w:r w:rsidRPr="00A04CE9">
              <w:rPr>
                <w:rFonts w:eastAsia="Times New Roman" w:cs="Times New Roman"/>
                <w:b/>
                <w:bCs/>
                <w:szCs w:val="20"/>
                <w:u w:val="single"/>
                <w:lang w:val="en-US" w:eastAsia="zh-CN"/>
              </w:rPr>
              <w:t>Issue 2-4-1: Beam switching related issues</w:t>
            </w:r>
          </w:p>
          <w:p w14:paraId="280BEC15" w14:textId="77777777" w:rsidR="00A04CE9" w:rsidRPr="00A04CE9" w:rsidRDefault="00A04CE9" w:rsidP="00A04CE9">
            <w:pPr>
              <w:spacing w:after="180"/>
              <w:ind w:left="540"/>
              <w:rPr>
                <w:rFonts w:eastAsia="Times New Roman" w:cs="Times New Roman"/>
                <w:szCs w:val="20"/>
                <w:lang w:val="en-US" w:eastAsia="zh-CN"/>
              </w:rPr>
            </w:pPr>
            <w:r w:rsidRPr="00A04CE9">
              <w:rPr>
                <w:rFonts w:eastAsia="Times New Roman" w:cs="Times New Roman"/>
                <w:b/>
                <w:bCs/>
                <w:szCs w:val="20"/>
                <w:lang w:val="en-US" w:eastAsia="zh-CN"/>
              </w:rPr>
              <w:t>&lt;Way Forward&gt; : Further discuss the following proposal</w:t>
            </w:r>
          </w:p>
          <w:p w14:paraId="6C6CAA28" w14:textId="77777777" w:rsidR="00A04CE9" w:rsidRPr="00A04CE9" w:rsidRDefault="00A04CE9" w:rsidP="00A04CE9">
            <w:pPr>
              <w:numPr>
                <w:ilvl w:val="0"/>
                <w:numId w:val="37"/>
              </w:numPr>
              <w:spacing w:after="120"/>
              <w:textAlignment w:val="center"/>
              <w:rPr>
                <w:rFonts w:ascii="Calibri" w:eastAsia="Times New Roman" w:hAnsi="Calibri" w:cs="Calibri"/>
                <w:sz w:val="22"/>
                <w:lang w:val="en-US" w:eastAsia="zh-CN"/>
              </w:rPr>
            </w:pPr>
            <w:r w:rsidRPr="00A04CE9">
              <w:rPr>
                <w:rFonts w:eastAsia="Times New Roman" w:cs="Times New Roman"/>
                <w:szCs w:val="20"/>
                <w:lang w:val="en-US" w:eastAsia="zh-CN"/>
              </w:rPr>
              <w:t>Proposal 1 (Ericsson): RAN4 to check if beam steering latency other than 0 may impact RRM requirements.</w:t>
            </w:r>
          </w:p>
          <w:p w14:paraId="1FC8BA24" w14:textId="77777777" w:rsidR="00A04CE9" w:rsidRPr="00A04CE9" w:rsidRDefault="00A04CE9" w:rsidP="00A04CE9">
            <w:pPr>
              <w:numPr>
                <w:ilvl w:val="0"/>
                <w:numId w:val="37"/>
              </w:numPr>
              <w:spacing w:after="120"/>
              <w:textAlignment w:val="center"/>
              <w:rPr>
                <w:rFonts w:ascii="Calibri" w:eastAsia="Times New Roman" w:hAnsi="Calibri" w:cs="Calibri"/>
                <w:sz w:val="22"/>
                <w:lang w:val="en-US" w:eastAsia="zh-CN"/>
              </w:rPr>
            </w:pPr>
            <w:r w:rsidRPr="00A04CE9">
              <w:rPr>
                <w:rFonts w:eastAsia="Times New Roman" w:cs="Times New Roman"/>
                <w:szCs w:val="20"/>
                <w:lang w:val="en-US" w:eastAsia="zh-CN"/>
              </w:rPr>
              <w:t>Proposal 2 (Ericsson): RAN4 to check if timing offset/error (between beam switching timing and DL/UL framework) may impact RRM requirements.</w:t>
            </w:r>
          </w:p>
          <w:p w14:paraId="0E989E3F" w14:textId="77777777" w:rsidR="00A04CE9" w:rsidRDefault="00A04CE9" w:rsidP="00A04CE9">
            <w:pPr>
              <w:pStyle w:val="RAN4H3"/>
              <w:numPr>
                <w:ilvl w:val="0"/>
                <w:numId w:val="0"/>
              </w:numPr>
              <w:rPr>
                <w:lang w:val="en-US"/>
              </w:rPr>
            </w:pPr>
          </w:p>
        </w:tc>
      </w:tr>
    </w:tbl>
    <w:p w14:paraId="147B6EF1" w14:textId="77777777" w:rsidR="00A04CE9" w:rsidRDefault="00A04CE9" w:rsidP="00A04CE9">
      <w:pPr>
        <w:pStyle w:val="RAN4H3"/>
        <w:numPr>
          <w:ilvl w:val="0"/>
          <w:numId w:val="0"/>
        </w:numPr>
        <w:rPr>
          <w:lang w:val="en-US"/>
        </w:rPr>
      </w:pPr>
    </w:p>
    <w:p w14:paraId="6B1C649D" w14:textId="70536072" w:rsidR="00A04CE9" w:rsidRDefault="00A04CE9" w:rsidP="00A04CE9">
      <w:pPr>
        <w:rPr>
          <w:lang w:val="en-US"/>
        </w:rPr>
      </w:pPr>
      <w:r>
        <w:rPr>
          <w:lang w:val="en-US"/>
        </w:rPr>
        <w:t>From our point of view, the beam steering latency is still under discussion in RAN1 and is not clear whether other beam steering latency (</w:t>
      </w:r>
      <w:proofErr w:type="spellStart"/>
      <w:r>
        <w:rPr>
          <w:lang w:val="en-US"/>
        </w:rPr>
        <w:t>othern</w:t>
      </w:r>
      <w:proofErr w:type="spellEnd"/>
      <w:r>
        <w:rPr>
          <w:lang w:val="en-US"/>
        </w:rPr>
        <w:t xml:space="preserve"> than 0 </w:t>
      </w:r>
      <w:proofErr w:type="spellStart"/>
      <w:r>
        <w:rPr>
          <w:lang w:val="en-US"/>
        </w:rPr>
        <w:t>ms</w:t>
      </w:r>
      <w:proofErr w:type="spellEnd"/>
      <w:r>
        <w:rPr>
          <w:lang w:val="en-US"/>
        </w:rPr>
        <w:t xml:space="preserve">) is to be considered. We prefer to wait for more progress in RAN1 before advancing in this discussion. </w:t>
      </w:r>
    </w:p>
    <w:p w14:paraId="48A0E183" w14:textId="2DA5F00F" w:rsidR="00A04CE9" w:rsidRPr="00100ED9" w:rsidRDefault="00A04CE9" w:rsidP="00A04CE9">
      <w:pPr>
        <w:pStyle w:val="RAN4proposal"/>
        <w:rPr>
          <w:lang w:val="en-US"/>
        </w:rPr>
      </w:pPr>
      <w:bookmarkStart w:id="14" w:name="_Toc179195616"/>
      <w:r>
        <w:rPr>
          <w:lang w:val="en-US"/>
        </w:rPr>
        <w:t>Wait for further progress on RAN1 on beam steering configurations before analyzing the impact in RRM requirements.</w:t>
      </w:r>
      <w:bookmarkEnd w:id="14"/>
      <w:r>
        <w:rPr>
          <w:lang w:val="en-US"/>
        </w:rPr>
        <w:t xml:space="preserve"> </w:t>
      </w:r>
    </w:p>
    <w:p w14:paraId="6BA4E3F1" w14:textId="77777777" w:rsidR="00CD7492" w:rsidRPr="00614DD8" w:rsidRDefault="00CD7492" w:rsidP="00A37002">
      <w:pPr>
        <w:pStyle w:val="RAN4H1"/>
        <w:rPr>
          <w:lang w:val="en-US"/>
        </w:rPr>
      </w:pPr>
      <w:bookmarkStart w:id="15" w:name="_Toc116995848"/>
      <w:r w:rsidRPr="00614DD8">
        <w:rPr>
          <w:lang w:val="en-US"/>
        </w:rPr>
        <w:t>Conclusion</w:t>
      </w:r>
      <w:bookmarkEnd w:id="15"/>
    </w:p>
    <w:p w14:paraId="6209511E" w14:textId="47345D1E" w:rsidR="00381F95" w:rsidRPr="00614DD8" w:rsidRDefault="00A04CE9" w:rsidP="00936159">
      <w:pPr>
        <w:rPr>
          <w:lang w:val="en-US"/>
        </w:rPr>
      </w:pPr>
      <w:r>
        <w:rPr>
          <w:lang w:val="en-US"/>
        </w:rPr>
        <w:t xml:space="preserve">In this paper we analyzed RAN4 impact of the NR_NTN_PH3 objectives considering the scope of this WI and/or the open issues already identified in the WF. </w:t>
      </w:r>
    </w:p>
    <w:p w14:paraId="1A79E62F"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bookmarkStart w:id="16" w:name="_Toc116995849"/>
    <w:p w14:paraId="373EB8CC" w14:textId="01D1A786" w:rsidR="00E522D0" w:rsidRDefault="00A04CE9">
      <w:pPr>
        <w:pStyle w:val="TOC1"/>
        <w:rPr>
          <w:rFonts w:asciiTheme="minorHAnsi" w:eastAsiaTheme="minorEastAsia" w:hAnsiTheme="minorHAnsi"/>
          <w:i w:val="0"/>
          <w:iCs w:val="0"/>
          <w:kern w:val="2"/>
          <w:sz w:val="24"/>
          <w:szCs w:val="24"/>
          <w:u w:val="none"/>
          <w:lang w:eastAsia="zh-CN"/>
          <w14:ligatures w14:val="standardContextual"/>
        </w:rPr>
      </w:pPr>
      <w:r>
        <w:rPr>
          <w:lang w:val="en-US"/>
        </w:rPr>
        <w:fldChar w:fldCharType="begin"/>
      </w:r>
      <w:r>
        <w:rPr>
          <w:lang w:val="en-US"/>
        </w:rPr>
        <w:instrText xml:space="preserve"> TOC \n \h \z \t "RAN4 proposal,1,RAN4 observation,1" </w:instrText>
      </w:r>
      <w:r>
        <w:rPr>
          <w:lang w:val="en-US"/>
        </w:rPr>
        <w:fldChar w:fldCharType="separate"/>
      </w:r>
      <w:hyperlink w:anchor="_Toc179195607" w:history="1">
        <w:r w:rsidR="00E522D0" w:rsidRPr="005663F6">
          <w:rPr>
            <w:rStyle w:val="Hyperlink"/>
            <w:b/>
            <w:lang w:val="en-US"/>
          </w:rPr>
          <w:t>Observation 1:</w:t>
        </w:r>
        <w:r w:rsidR="00E522D0" w:rsidRPr="005663F6">
          <w:rPr>
            <w:rStyle w:val="Hyperlink"/>
            <w:lang w:val="en-US"/>
          </w:rPr>
          <w:t xml:space="preserve"> So far, no RRM impact related to the objectives related to MBS broadcast or UL capacity enhancements were identified in this WI.</w:t>
        </w:r>
      </w:hyperlink>
    </w:p>
    <w:p w14:paraId="7C444CC9" w14:textId="1F9039DE" w:rsidR="00E522D0" w:rsidRDefault="00000000">
      <w:pPr>
        <w:pStyle w:val="TOC1"/>
        <w:rPr>
          <w:rFonts w:asciiTheme="minorHAnsi" w:eastAsiaTheme="minorEastAsia" w:hAnsiTheme="minorHAnsi"/>
          <w:i w:val="0"/>
          <w:iCs w:val="0"/>
          <w:kern w:val="2"/>
          <w:sz w:val="24"/>
          <w:szCs w:val="24"/>
          <w:u w:val="none"/>
          <w:lang w:eastAsia="zh-CN"/>
          <w14:ligatures w14:val="standardContextual"/>
        </w:rPr>
      </w:pPr>
      <w:hyperlink w:anchor="_Toc179195608" w:history="1">
        <w:r w:rsidR="00E522D0" w:rsidRPr="005663F6">
          <w:rPr>
            <w:rStyle w:val="Hyperlink"/>
            <w:b/>
          </w:rPr>
          <w:t>Observation 2:</w:t>
        </w:r>
        <w:r w:rsidR="00E522D0" w:rsidRPr="005663F6">
          <w:rPr>
            <w:rStyle w:val="Hyperlink"/>
          </w:rPr>
          <w:t xml:space="preserve"> All transmitting UEs must be time aligned at the system synchronization reference point (usually the satellite or the gNb)</w:t>
        </w:r>
      </w:hyperlink>
    </w:p>
    <w:p w14:paraId="6342C3B0" w14:textId="19113D57" w:rsidR="00E522D0" w:rsidRDefault="00000000">
      <w:pPr>
        <w:pStyle w:val="TOC1"/>
        <w:rPr>
          <w:rFonts w:asciiTheme="minorHAnsi" w:eastAsiaTheme="minorEastAsia" w:hAnsiTheme="minorHAnsi"/>
          <w:i w:val="0"/>
          <w:iCs w:val="0"/>
          <w:kern w:val="2"/>
          <w:sz w:val="24"/>
          <w:szCs w:val="24"/>
          <w:u w:val="none"/>
          <w:lang w:eastAsia="zh-CN"/>
          <w14:ligatures w14:val="standardContextual"/>
        </w:rPr>
      </w:pPr>
      <w:hyperlink w:anchor="_Toc179195609" w:history="1">
        <w:r w:rsidR="00E522D0" w:rsidRPr="005663F6">
          <w:rPr>
            <w:rStyle w:val="Hyperlink"/>
          </w:rPr>
          <w:t>Proposal 1: Reply to RAN2 that “in regenerative payload scenario, there is no problem to stick to 0 as the minimum possible value for TA-Common”.</w:t>
        </w:r>
      </w:hyperlink>
    </w:p>
    <w:p w14:paraId="135A1CC5" w14:textId="3284F43B" w:rsidR="00E522D0" w:rsidRDefault="00000000">
      <w:pPr>
        <w:pStyle w:val="TOC1"/>
        <w:rPr>
          <w:rFonts w:asciiTheme="minorHAnsi" w:eastAsiaTheme="minorEastAsia" w:hAnsiTheme="minorHAnsi"/>
          <w:i w:val="0"/>
          <w:iCs w:val="0"/>
          <w:kern w:val="2"/>
          <w:sz w:val="24"/>
          <w:szCs w:val="24"/>
          <w:u w:val="none"/>
          <w:lang w:eastAsia="zh-CN"/>
          <w14:ligatures w14:val="standardContextual"/>
        </w:rPr>
      </w:pPr>
      <w:hyperlink w:anchor="_Toc179195610" w:history="1">
        <w:r w:rsidR="00E522D0" w:rsidRPr="005663F6">
          <w:rPr>
            <w:rStyle w:val="Hyperlink"/>
          </w:rPr>
          <w:t>Proposal 2: Include on the LS reply to RAN2 that: “the UL reference timing – from the receiver point of view – shall be the same for all UEs, and legacy and Rel-19 UEs shall have a common understanding of the common delay.</w:t>
        </w:r>
      </w:hyperlink>
    </w:p>
    <w:p w14:paraId="030E5F47" w14:textId="07AC7CC7" w:rsidR="00E522D0" w:rsidRDefault="00000000">
      <w:pPr>
        <w:pStyle w:val="TOC1"/>
        <w:rPr>
          <w:rFonts w:asciiTheme="minorHAnsi" w:eastAsiaTheme="minorEastAsia" w:hAnsiTheme="minorHAnsi"/>
          <w:i w:val="0"/>
          <w:iCs w:val="0"/>
          <w:kern w:val="2"/>
          <w:sz w:val="24"/>
          <w:szCs w:val="24"/>
          <w:u w:val="none"/>
          <w:lang w:eastAsia="zh-CN"/>
          <w14:ligatures w14:val="standardContextual"/>
        </w:rPr>
      </w:pPr>
      <w:hyperlink w:anchor="_Toc179195611" w:history="1">
        <w:r w:rsidR="00E522D0" w:rsidRPr="005663F6">
          <w:rPr>
            <w:rStyle w:val="Hyperlink"/>
          </w:rPr>
          <w:t>Proposal 3: Unless indicated otherwise by further RAN2/3 progress, none of the following RRM requirements needs to be modified: RRC re-establishment, RACH-less HO and Inactive State mobility.</w:t>
        </w:r>
      </w:hyperlink>
    </w:p>
    <w:p w14:paraId="5969D2A0" w14:textId="2E4AE219" w:rsidR="00E522D0" w:rsidRDefault="00000000">
      <w:pPr>
        <w:pStyle w:val="TOC1"/>
        <w:rPr>
          <w:rFonts w:asciiTheme="minorHAnsi" w:eastAsiaTheme="minorEastAsia" w:hAnsiTheme="minorHAnsi"/>
          <w:i w:val="0"/>
          <w:iCs w:val="0"/>
          <w:kern w:val="2"/>
          <w:sz w:val="24"/>
          <w:szCs w:val="24"/>
          <w:u w:val="none"/>
          <w:lang w:eastAsia="zh-CN"/>
          <w14:ligatures w14:val="standardContextual"/>
        </w:rPr>
      </w:pPr>
      <w:hyperlink w:anchor="_Toc179195612" w:history="1">
        <w:r w:rsidR="00E522D0" w:rsidRPr="005663F6">
          <w:rPr>
            <w:rStyle w:val="Hyperlink"/>
          </w:rPr>
          <w:t>Proposal 4: Do not support satellite switching with same PCI for regenerative architecture in Rel-19.</w:t>
        </w:r>
      </w:hyperlink>
    </w:p>
    <w:p w14:paraId="4BC227EE" w14:textId="245071B9" w:rsidR="00E522D0" w:rsidRDefault="00000000">
      <w:pPr>
        <w:pStyle w:val="TOC1"/>
        <w:rPr>
          <w:rFonts w:asciiTheme="minorHAnsi" w:eastAsiaTheme="minorEastAsia" w:hAnsiTheme="minorHAnsi"/>
          <w:i w:val="0"/>
          <w:iCs w:val="0"/>
          <w:kern w:val="2"/>
          <w:sz w:val="24"/>
          <w:szCs w:val="24"/>
          <w:u w:val="none"/>
          <w:lang w:eastAsia="zh-CN"/>
          <w14:ligatures w14:val="standardContextual"/>
        </w:rPr>
      </w:pPr>
      <w:hyperlink w:anchor="_Toc179195613" w:history="1">
        <w:r w:rsidR="00E522D0" w:rsidRPr="005663F6">
          <w:rPr>
            <w:rStyle w:val="Hyperlink"/>
            <w:b/>
            <w:lang w:val="en-US"/>
          </w:rPr>
          <w:t>Observation 3:</w:t>
        </w:r>
        <w:r w:rsidR="00E522D0" w:rsidRPr="005663F6">
          <w:rPr>
            <w:rStyle w:val="Hyperlink"/>
            <w:lang w:val="en-US"/>
          </w:rPr>
          <w:t xml:space="preserve"> Cell search optimizations are beyond the scope of RRM in RAN4.</w:t>
        </w:r>
      </w:hyperlink>
    </w:p>
    <w:p w14:paraId="7282C434" w14:textId="2F823417" w:rsidR="00E522D0" w:rsidRDefault="00000000">
      <w:pPr>
        <w:pStyle w:val="TOC1"/>
        <w:rPr>
          <w:rFonts w:asciiTheme="minorHAnsi" w:eastAsiaTheme="minorEastAsia" w:hAnsiTheme="minorHAnsi"/>
          <w:i w:val="0"/>
          <w:iCs w:val="0"/>
          <w:kern w:val="2"/>
          <w:sz w:val="24"/>
          <w:szCs w:val="24"/>
          <w:u w:val="none"/>
          <w:lang w:eastAsia="zh-CN"/>
          <w14:ligatures w14:val="standardContextual"/>
        </w:rPr>
      </w:pPr>
      <w:hyperlink w:anchor="_Toc179195614" w:history="1">
        <w:r w:rsidR="00E522D0" w:rsidRPr="005663F6">
          <w:rPr>
            <w:rStyle w:val="Hyperlink"/>
            <w:b/>
            <w:lang w:val="en-US"/>
          </w:rPr>
          <w:t>Observation 4:</w:t>
        </w:r>
        <w:r w:rsidR="00E522D0" w:rsidRPr="005663F6">
          <w:rPr>
            <w:rStyle w:val="Hyperlink"/>
            <w:lang w:val="en-US"/>
          </w:rPr>
          <w:t xml:space="preserve"> For neighbor cell measurements, the periodicity of the SMTC (and not the periodicity of the SSB) is the baseline.</w:t>
        </w:r>
      </w:hyperlink>
    </w:p>
    <w:p w14:paraId="1DADEA91" w14:textId="1445C715" w:rsidR="00E522D0" w:rsidRDefault="00000000">
      <w:pPr>
        <w:pStyle w:val="TOC1"/>
        <w:rPr>
          <w:rFonts w:asciiTheme="minorHAnsi" w:eastAsiaTheme="minorEastAsia" w:hAnsiTheme="minorHAnsi"/>
          <w:i w:val="0"/>
          <w:iCs w:val="0"/>
          <w:kern w:val="2"/>
          <w:sz w:val="24"/>
          <w:szCs w:val="24"/>
          <w:u w:val="none"/>
          <w:lang w:eastAsia="zh-CN"/>
          <w14:ligatures w14:val="standardContextual"/>
        </w:rPr>
      </w:pPr>
      <w:hyperlink w:anchor="_Toc179195615" w:history="1">
        <w:r w:rsidR="00E522D0" w:rsidRPr="005663F6">
          <w:rPr>
            <w:rStyle w:val="Hyperlink"/>
            <w:lang w:val="en-US"/>
          </w:rPr>
          <w:t>Proposal 5: Consider impact on neighbor cell measurements only if RAN1 agrees on SMTC/SSB periodicity above 160 ms, or if the larger SMTC period allowed in specification becomes smaller than the larger SSB periodicity.</w:t>
        </w:r>
      </w:hyperlink>
    </w:p>
    <w:p w14:paraId="340C70E7" w14:textId="31C2B139" w:rsidR="00E522D0" w:rsidRDefault="00000000">
      <w:pPr>
        <w:pStyle w:val="TOC1"/>
        <w:rPr>
          <w:rFonts w:asciiTheme="minorHAnsi" w:eastAsiaTheme="minorEastAsia" w:hAnsiTheme="minorHAnsi"/>
          <w:i w:val="0"/>
          <w:iCs w:val="0"/>
          <w:kern w:val="2"/>
          <w:sz w:val="24"/>
          <w:szCs w:val="24"/>
          <w:u w:val="none"/>
          <w:lang w:eastAsia="zh-CN"/>
          <w14:ligatures w14:val="standardContextual"/>
        </w:rPr>
      </w:pPr>
      <w:hyperlink w:anchor="_Toc179195616" w:history="1">
        <w:r w:rsidR="00E522D0" w:rsidRPr="005663F6">
          <w:rPr>
            <w:rStyle w:val="Hyperlink"/>
            <w:lang w:val="en-US"/>
          </w:rPr>
          <w:t>Proposal 6: Wait for further progress on RAN1 on beam steering configurations before analyzing the impact in RRM requirements.</w:t>
        </w:r>
      </w:hyperlink>
    </w:p>
    <w:p w14:paraId="25BBFB78" w14:textId="5C54188C" w:rsidR="00847264" w:rsidRPr="00614DD8" w:rsidRDefault="00A04CE9" w:rsidP="008C39F7">
      <w:pPr>
        <w:rPr>
          <w:lang w:val="en-US"/>
        </w:rPr>
      </w:pPr>
      <w:r>
        <w:rPr>
          <w:noProof/>
          <w:u w:val="single"/>
          <w:lang w:val="en-US"/>
        </w:rPr>
        <w:fldChar w:fldCharType="end"/>
      </w:r>
    </w:p>
    <w:p w14:paraId="37AAEA95" w14:textId="77777777" w:rsidR="003B659E" w:rsidRPr="00614DD8" w:rsidRDefault="003B659E" w:rsidP="0060543D">
      <w:pPr>
        <w:pStyle w:val="RAN4H1"/>
        <w:numPr>
          <w:ilvl w:val="0"/>
          <w:numId w:val="0"/>
        </w:numPr>
        <w:ind w:left="360" w:hanging="360"/>
        <w:rPr>
          <w:lang w:val="en-US"/>
        </w:rPr>
      </w:pPr>
      <w:r w:rsidRPr="00614DD8">
        <w:rPr>
          <w:lang w:val="en-US"/>
        </w:rPr>
        <w:lastRenderedPageBreak/>
        <w:t>References</w:t>
      </w:r>
      <w:bookmarkEnd w:id="16"/>
    </w:p>
    <w:p w14:paraId="3C7E590E" w14:textId="17E001C1" w:rsidR="00E42B45" w:rsidRDefault="00E42B45" w:rsidP="00D66188">
      <w:pPr>
        <w:pStyle w:val="ListParagraph"/>
        <w:numPr>
          <w:ilvl w:val="0"/>
          <w:numId w:val="21"/>
        </w:numPr>
        <w:ind w:right="-22"/>
        <w:rPr>
          <w:lang w:val="en-US"/>
        </w:rPr>
      </w:pPr>
      <w:bookmarkStart w:id="17" w:name="_Ref114500673"/>
      <w:bookmarkStart w:id="18" w:name="_Ref178945353"/>
      <w:bookmarkEnd w:id="17"/>
      <w:r w:rsidRPr="00E42B45">
        <w:rPr>
          <w:lang w:val="en-US"/>
        </w:rPr>
        <w:t>RP-234078, New WID: Non-Terrestrial Networks (NTN) for NR Phase 3, Huawei</w:t>
      </w:r>
      <w:bookmarkEnd w:id="18"/>
    </w:p>
    <w:p w14:paraId="32F6349D" w14:textId="1378AF0B" w:rsidR="00E82B94" w:rsidRDefault="00E42B45" w:rsidP="00D66188">
      <w:pPr>
        <w:pStyle w:val="ListParagraph"/>
        <w:numPr>
          <w:ilvl w:val="0"/>
          <w:numId w:val="21"/>
        </w:numPr>
        <w:ind w:right="-22"/>
        <w:rPr>
          <w:lang w:val="en-US"/>
        </w:rPr>
      </w:pPr>
      <w:bookmarkStart w:id="19" w:name="_Ref178945346"/>
      <w:r w:rsidRPr="00E42B45">
        <w:rPr>
          <w:lang w:val="en-US"/>
        </w:rPr>
        <w:t>RP-241789</w:t>
      </w:r>
      <w:r>
        <w:rPr>
          <w:lang w:val="en-US"/>
        </w:rPr>
        <w:t xml:space="preserve"> </w:t>
      </w:r>
      <w:r w:rsidRPr="00E42B45">
        <w:rPr>
          <w:lang w:val="en-US"/>
        </w:rPr>
        <w:t>Revised WID: Non-Terrestrial Networks (NTN) for NR Phase 3, Thales, CATT</w:t>
      </w:r>
      <w:bookmarkEnd w:id="19"/>
    </w:p>
    <w:p w14:paraId="2A4D46C0" w14:textId="06F38BAC" w:rsidR="00E82B94" w:rsidRDefault="00570158" w:rsidP="00D66188">
      <w:pPr>
        <w:pStyle w:val="ListParagraph"/>
        <w:numPr>
          <w:ilvl w:val="0"/>
          <w:numId w:val="21"/>
        </w:numPr>
        <w:ind w:right="-22"/>
        <w:rPr>
          <w:lang w:val="en-US"/>
        </w:rPr>
      </w:pPr>
      <w:bookmarkStart w:id="20" w:name="_Ref178945761"/>
      <w:r w:rsidRPr="00570158">
        <w:t xml:space="preserve">R4-2414037, </w:t>
      </w:r>
      <w:r w:rsidRPr="00570158">
        <w:rPr>
          <w:i/>
          <w:iCs/>
        </w:rPr>
        <w:t>"The WF on RRM requirements for Rel-19 NR NTN phase3"</w:t>
      </w:r>
      <w:r w:rsidRPr="00570158">
        <w:t>, Moderator (CATT), RAN4 #112, Maastricht, Netherlands, Aug. 19-23, 2024.</w:t>
      </w:r>
      <w:bookmarkEnd w:id="20"/>
    </w:p>
    <w:p w14:paraId="5A1DD231" w14:textId="77777777" w:rsidR="00A04CE9" w:rsidRPr="00A04CE9" w:rsidRDefault="000B7BC5" w:rsidP="00A04CE9">
      <w:pPr>
        <w:pStyle w:val="ListParagraph"/>
        <w:numPr>
          <w:ilvl w:val="0"/>
          <w:numId w:val="21"/>
        </w:numPr>
        <w:ind w:right="-22"/>
        <w:rPr>
          <w:b/>
          <w:lang w:val="en-US"/>
        </w:rPr>
      </w:pPr>
      <w:bookmarkStart w:id="21" w:name="_Ref178948211"/>
      <w:r w:rsidRPr="000B7BC5">
        <w:rPr>
          <w:lang w:val="en-US"/>
        </w:rPr>
        <w:t>R2-2407623</w:t>
      </w:r>
      <w:r>
        <w:rPr>
          <w:lang w:val="en-US"/>
        </w:rPr>
        <w:t xml:space="preserve">, </w:t>
      </w:r>
      <w:r w:rsidRPr="000B7BC5">
        <w:rPr>
          <w:i/>
          <w:iCs/>
          <w:lang w:val="en-US"/>
        </w:rPr>
        <w:t>“</w:t>
      </w:r>
      <w:r w:rsidRPr="000B7BC5">
        <w:rPr>
          <w:bCs/>
          <w:i/>
          <w:iCs/>
        </w:rPr>
        <w:t>LS on common TA in a regenerative payload scenario”</w:t>
      </w:r>
      <w:r w:rsidRPr="000B7BC5">
        <w:rPr>
          <w:bCs/>
        </w:rPr>
        <w:t xml:space="preserve">, China Mobile, </w:t>
      </w:r>
      <w:r w:rsidRPr="000B7BC5">
        <w:rPr>
          <w:bCs/>
          <w:lang w:val="en-US"/>
        </w:rPr>
        <w:t>Maastricht, Netherlands, 19</w:t>
      </w:r>
      <w:r w:rsidRPr="000B7BC5">
        <w:rPr>
          <w:bCs/>
          <w:vertAlign w:val="superscript"/>
          <w:lang w:val="en-US"/>
        </w:rPr>
        <w:t>th</w:t>
      </w:r>
      <w:r w:rsidRPr="000B7BC5">
        <w:rPr>
          <w:bCs/>
          <w:lang w:val="en-US"/>
        </w:rPr>
        <w:t xml:space="preserve"> – 23</w:t>
      </w:r>
      <w:r w:rsidRPr="000B7BC5">
        <w:rPr>
          <w:bCs/>
          <w:vertAlign w:val="superscript"/>
          <w:lang w:val="en-US"/>
        </w:rPr>
        <w:t>rd</w:t>
      </w:r>
      <w:r w:rsidRPr="000B7BC5">
        <w:rPr>
          <w:bCs/>
          <w:lang w:val="en-US"/>
        </w:rPr>
        <w:t xml:space="preserve"> August 2024</w:t>
      </w:r>
      <w:bookmarkEnd w:id="21"/>
    </w:p>
    <w:p w14:paraId="5849FF90" w14:textId="77777777" w:rsidR="00A04CE9" w:rsidRPr="00A04CE9" w:rsidRDefault="00A04CE9" w:rsidP="00A04CE9">
      <w:pPr>
        <w:pStyle w:val="ListParagraph"/>
        <w:numPr>
          <w:ilvl w:val="0"/>
          <w:numId w:val="21"/>
        </w:numPr>
        <w:ind w:right="-22"/>
        <w:rPr>
          <w:b/>
          <w:bCs/>
          <w:lang w:val="en-US"/>
        </w:rPr>
      </w:pPr>
      <w:bookmarkStart w:id="22" w:name="_Ref178962831"/>
      <w:r w:rsidRPr="00A04CE9">
        <w:rPr>
          <w:lang w:val="en-US"/>
        </w:rPr>
        <w:t>R1-2407538, “</w:t>
      </w:r>
      <w:r w:rsidRPr="00A04CE9">
        <w:t>Draft Reply LS on DL coverage enhancements”, China M</w:t>
      </w:r>
      <w:r>
        <w:t>o</w:t>
      </w:r>
      <w:r w:rsidRPr="00A04CE9">
        <w:t>bile</w:t>
      </w:r>
      <w:r>
        <w:t xml:space="preserve">, RAN1 #118, </w:t>
      </w:r>
      <w:r w:rsidRPr="00A04CE9">
        <w:rPr>
          <w:bCs/>
          <w:lang w:val="en-US"/>
        </w:rPr>
        <w:t>Maastricht, The Netherlands, 19</w:t>
      </w:r>
      <w:r w:rsidRPr="00A04CE9">
        <w:rPr>
          <w:bCs/>
          <w:vertAlign w:val="superscript"/>
          <w:lang w:val="en-US"/>
        </w:rPr>
        <w:t>th</w:t>
      </w:r>
      <w:r w:rsidRPr="00A04CE9">
        <w:rPr>
          <w:bCs/>
          <w:lang w:val="en-US"/>
        </w:rPr>
        <w:t xml:space="preserve"> – 23</w:t>
      </w:r>
      <w:r w:rsidRPr="00A04CE9">
        <w:rPr>
          <w:bCs/>
          <w:vertAlign w:val="superscript"/>
          <w:lang w:val="en-US"/>
        </w:rPr>
        <w:t>rd</w:t>
      </w:r>
      <w:r w:rsidRPr="00A04CE9">
        <w:rPr>
          <w:bCs/>
          <w:lang w:val="en-US"/>
        </w:rPr>
        <w:t xml:space="preserve"> </w:t>
      </w:r>
      <w:proofErr w:type="gramStart"/>
      <w:r w:rsidRPr="00A04CE9">
        <w:rPr>
          <w:bCs/>
          <w:lang w:val="en-US"/>
        </w:rPr>
        <w:t>August,</w:t>
      </w:r>
      <w:proofErr w:type="gramEnd"/>
      <w:r w:rsidRPr="00A04CE9">
        <w:rPr>
          <w:bCs/>
          <w:lang w:val="en-US"/>
        </w:rPr>
        <w:t xml:space="preserve"> 2024</w:t>
      </w:r>
      <w:bookmarkEnd w:id="22"/>
    </w:p>
    <w:p w14:paraId="71DA7189" w14:textId="77777777" w:rsidR="00581618" w:rsidRDefault="00581618" w:rsidP="00E82B94">
      <w:pPr>
        <w:pStyle w:val="ListParagraph"/>
        <w:ind w:right="-22"/>
        <w:rPr>
          <w:lang w:val="en-US"/>
        </w:rPr>
      </w:pPr>
    </w:p>
    <w:p w14:paraId="5284285C"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C0448" w14:textId="77777777" w:rsidR="001D01BB" w:rsidRDefault="001D01BB" w:rsidP="00001C9B">
      <w:pPr>
        <w:spacing w:after="0" w:line="240" w:lineRule="auto"/>
      </w:pPr>
      <w:r>
        <w:separator/>
      </w:r>
    </w:p>
  </w:endnote>
  <w:endnote w:type="continuationSeparator" w:id="0">
    <w:p w14:paraId="01A6463B" w14:textId="77777777" w:rsidR="001D01BB" w:rsidRDefault="001D01BB" w:rsidP="00001C9B">
      <w:pPr>
        <w:spacing w:after="0" w:line="240" w:lineRule="auto"/>
      </w:pPr>
      <w:r>
        <w:continuationSeparator/>
      </w:r>
    </w:p>
  </w:endnote>
  <w:endnote w:type="continuationNotice" w:id="1">
    <w:p w14:paraId="6BAE54D5" w14:textId="77777777" w:rsidR="001D01BB" w:rsidRDefault="001D01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638EB" w14:textId="77777777" w:rsidR="001D01BB" w:rsidRDefault="001D01BB" w:rsidP="00001C9B">
      <w:pPr>
        <w:spacing w:after="0" w:line="240" w:lineRule="auto"/>
      </w:pPr>
      <w:r>
        <w:separator/>
      </w:r>
    </w:p>
  </w:footnote>
  <w:footnote w:type="continuationSeparator" w:id="0">
    <w:p w14:paraId="5181D98A" w14:textId="77777777" w:rsidR="001D01BB" w:rsidRDefault="001D01BB" w:rsidP="00001C9B">
      <w:pPr>
        <w:spacing w:after="0" w:line="240" w:lineRule="auto"/>
      </w:pPr>
      <w:r>
        <w:continuationSeparator/>
      </w:r>
    </w:p>
  </w:footnote>
  <w:footnote w:type="continuationNotice" w:id="1">
    <w:p w14:paraId="3472C40B" w14:textId="77777777" w:rsidR="001D01BB" w:rsidRDefault="001D01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181D4D"/>
    <w:multiLevelType w:val="multilevel"/>
    <w:tmpl w:val="90766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117423"/>
    <w:multiLevelType w:val="hybridMultilevel"/>
    <w:tmpl w:val="767A9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641CD"/>
    <w:multiLevelType w:val="multilevel"/>
    <w:tmpl w:val="1A16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3109FD"/>
    <w:multiLevelType w:val="hybridMultilevel"/>
    <w:tmpl w:val="E28E1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B32A5D"/>
    <w:multiLevelType w:val="hybridMultilevel"/>
    <w:tmpl w:val="BA7807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2F0ABF"/>
    <w:multiLevelType w:val="hybridMultilevel"/>
    <w:tmpl w:val="D22A0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783C64"/>
    <w:multiLevelType w:val="hybridMultilevel"/>
    <w:tmpl w:val="04E04C0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5E5A23"/>
    <w:multiLevelType w:val="hybridMultilevel"/>
    <w:tmpl w:val="E42E72F4"/>
    <w:lvl w:ilvl="0" w:tplc="211A2F6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0A34FC"/>
    <w:multiLevelType w:val="hybridMultilevel"/>
    <w:tmpl w:val="C08A0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D43B22"/>
    <w:multiLevelType w:val="hybridMultilevel"/>
    <w:tmpl w:val="350A5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F87F03"/>
    <w:multiLevelType w:val="hybridMultilevel"/>
    <w:tmpl w:val="C21E9B54"/>
    <w:lvl w:ilvl="0" w:tplc="7332DA84">
      <w:start w:val="1"/>
      <w:numFmt w:val="bullet"/>
      <w:lvlText w:val=""/>
      <w:lvlJc w:val="left"/>
      <w:pPr>
        <w:tabs>
          <w:tab w:val="num" w:pos="720"/>
        </w:tabs>
        <w:ind w:left="720" w:hanging="360"/>
      </w:pPr>
      <w:rPr>
        <w:rFonts w:ascii="Symbol" w:hAnsi="Symbol" w:hint="default"/>
      </w:rPr>
    </w:lvl>
    <w:lvl w:ilvl="1" w:tplc="77FC6744">
      <w:numFmt w:val="bullet"/>
      <w:lvlText w:val="o"/>
      <w:lvlJc w:val="left"/>
      <w:pPr>
        <w:tabs>
          <w:tab w:val="num" w:pos="1440"/>
        </w:tabs>
        <w:ind w:left="1440" w:hanging="360"/>
      </w:pPr>
      <w:rPr>
        <w:rFonts w:ascii="Courier New" w:hAnsi="Courier New" w:hint="default"/>
      </w:rPr>
    </w:lvl>
    <w:lvl w:ilvl="2" w:tplc="13D8C0E2">
      <w:numFmt w:val="bullet"/>
      <w:lvlText w:val="•"/>
      <w:lvlJc w:val="left"/>
      <w:pPr>
        <w:tabs>
          <w:tab w:val="num" w:pos="2160"/>
        </w:tabs>
        <w:ind w:left="2160" w:hanging="360"/>
      </w:pPr>
      <w:rPr>
        <w:rFonts w:ascii="Times" w:hAnsi="Times" w:hint="default"/>
      </w:rPr>
    </w:lvl>
    <w:lvl w:ilvl="3" w:tplc="3B04666A" w:tentative="1">
      <w:start w:val="1"/>
      <w:numFmt w:val="bullet"/>
      <w:lvlText w:val=""/>
      <w:lvlJc w:val="left"/>
      <w:pPr>
        <w:tabs>
          <w:tab w:val="num" w:pos="2880"/>
        </w:tabs>
        <w:ind w:left="2880" w:hanging="360"/>
      </w:pPr>
      <w:rPr>
        <w:rFonts w:ascii="Symbol" w:hAnsi="Symbol" w:hint="default"/>
      </w:rPr>
    </w:lvl>
    <w:lvl w:ilvl="4" w:tplc="4C6AECEE" w:tentative="1">
      <w:start w:val="1"/>
      <w:numFmt w:val="bullet"/>
      <w:lvlText w:val=""/>
      <w:lvlJc w:val="left"/>
      <w:pPr>
        <w:tabs>
          <w:tab w:val="num" w:pos="3600"/>
        </w:tabs>
        <w:ind w:left="3600" w:hanging="360"/>
      </w:pPr>
      <w:rPr>
        <w:rFonts w:ascii="Symbol" w:hAnsi="Symbol" w:hint="default"/>
      </w:rPr>
    </w:lvl>
    <w:lvl w:ilvl="5" w:tplc="2CC01800" w:tentative="1">
      <w:start w:val="1"/>
      <w:numFmt w:val="bullet"/>
      <w:lvlText w:val=""/>
      <w:lvlJc w:val="left"/>
      <w:pPr>
        <w:tabs>
          <w:tab w:val="num" w:pos="4320"/>
        </w:tabs>
        <w:ind w:left="4320" w:hanging="360"/>
      </w:pPr>
      <w:rPr>
        <w:rFonts w:ascii="Symbol" w:hAnsi="Symbol" w:hint="default"/>
      </w:rPr>
    </w:lvl>
    <w:lvl w:ilvl="6" w:tplc="04BE2D50" w:tentative="1">
      <w:start w:val="1"/>
      <w:numFmt w:val="bullet"/>
      <w:lvlText w:val=""/>
      <w:lvlJc w:val="left"/>
      <w:pPr>
        <w:tabs>
          <w:tab w:val="num" w:pos="5040"/>
        </w:tabs>
        <w:ind w:left="5040" w:hanging="360"/>
      </w:pPr>
      <w:rPr>
        <w:rFonts w:ascii="Symbol" w:hAnsi="Symbol" w:hint="default"/>
      </w:rPr>
    </w:lvl>
    <w:lvl w:ilvl="7" w:tplc="B8367FC8" w:tentative="1">
      <w:start w:val="1"/>
      <w:numFmt w:val="bullet"/>
      <w:lvlText w:val=""/>
      <w:lvlJc w:val="left"/>
      <w:pPr>
        <w:tabs>
          <w:tab w:val="num" w:pos="5760"/>
        </w:tabs>
        <w:ind w:left="5760" w:hanging="360"/>
      </w:pPr>
      <w:rPr>
        <w:rFonts w:ascii="Symbol" w:hAnsi="Symbol" w:hint="default"/>
      </w:rPr>
    </w:lvl>
    <w:lvl w:ilvl="8" w:tplc="BC64F67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6"/>
  </w:num>
  <w:num w:numId="4" w16cid:durableId="517735681">
    <w:abstractNumId w:val="6"/>
  </w:num>
  <w:num w:numId="5" w16cid:durableId="1142041724">
    <w:abstractNumId w:val="23"/>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4"/>
  </w:num>
  <w:num w:numId="16" w16cid:durableId="516113510">
    <w:abstractNumId w:val="5"/>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9"/>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750082490">
    <w:abstractNumId w:val="11"/>
  </w:num>
  <w:num w:numId="28" w16cid:durableId="194316087">
    <w:abstractNumId w:val="15"/>
  </w:num>
  <w:num w:numId="29" w16cid:durableId="2134909165">
    <w:abstractNumId w:val="7"/>
  </w:num>
  <w:num w:numId="30" w16cid:durableId="764573285">
    <w:abstractNumId w:val="20"/>
  </w:num>
  <w:num w:numId="31" w16cid:durableId="1293050617">
    <w:abstractNumId w:val="10"/>
  </w:num>
  <w:num w:numId="32" w16cid:durableId="347174308">
    <w:abstractNumId w:val="18"/>
  </w:num>
  <w:num w:numId="33" w16cid:durableId="236136147">
    <w:abstractNumId w:val="4"/>
  </w:num>
  <w:num w:numId="34" w16cid:durableId="1333528663">
    <w:abstractNumId w:val="17"/>
  </w:num>
  <w:num w:numId="35" w16cid:durableId="1586382677">
    <w:abstractNumId w:val="9"/>
  </w:num>
  <w:num w:numId="36" w16cid:durableId="1343970020">
    <w:abstractNumId w:val="21"/>
  </w:num>
  <w:num w:numId="37" w16cid:durableId="12865397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2BCC"/>
    <w:rsid w:val="00001C9B"/>
    <w:rsid w:val="000040DC"/>
    <w:rsid w:val="00011784"/>
    <w:rsid w:val="000151EF"/>
    <w:rsid w:val="000239F5"/>
    <w:rsid w:val="00042BCC"/>
    <w:rsid w:val="00072CCA"/>
    <w:rsid w:val="0008612A"/>
    <w:rsid w:val="00090E18"/>
    <w:rsid w:val="000A10BC"/>
    <w:rsid w:val="000A1646"/>
    <w:rsid w:val="000A7F53"/>
    <w:rsid w:val="000B0056"/>
    <w:rsid w:val="000B7BC5"/>
    <w:rsid w:val="000C3C7B"/>
    <w:rsid w:val="000D0F93"/>
    <w:rsid w:val="00100ED9"/>
    <w:rsid w:val="00106416"/>
    <w:rsid w:val="00110481"/>
    <w:rsid w:val="001127C9"/>
    <w:rsid w:val="00114498"/>
    <w:rsid w:val="00115B88"/>
    <w:rsid w:val="00131384"/>
    <w:rsid w:val="00132F6A"/>
    <w:rsid w:val="00133913"/>
    <w:rsid w:val="00140221"/>
    <w:rsid w:val="001642FC"/>
    <w:rsid w:val="0016496B"/>
    <w:rsid w:val="001743E2"/>
    <w:rsid w:val="001745F8"/>
    <w:rsid w:val="00175F5D"/>
    <w:rsid w:val="001838CF"/>
    <w:rsid w:val="001868EE"/>
    <w:rsid w:val="001A3BA4"/>
    <w:rsid w:val="001A6D1F"/>
    <w:rsid w:val="001B1EA8"/>
    <w:rsid w:val="001D01BB"/>
    <w:rsid w:val="001D3DB1"/>
    <w:rsid w:val="001E30F6"/>
    <w:rsid w:val="00217EE5"/>
    <w:rsid w:val="00235F5C"/>
    <w:rsid w:val="00257FA3"/>
    <w:rsid w:val="00275A1C"/>
    <w:rsid w:val="00277B56"/>
    <w:rsid w:val="00282A74"/>
    <w:rsid w:val="002849D4"/>
    <w:rsid w:val="002A19F5"/>
    <w:rsid w:val="002B4922"/>
    <w:rsid w:val="002B69F3"/>
    <w:rsid w:val="002C22C3"/>
    <w:rsid w:val="002C2D19"/>
    <w:rsid w:val="002D10FA"/>
    <w:rsid w:val="002D4C55"/>
    <w:rsid w:val="002E6DED"/>
    <w:rsid w:val="002F4455"/>
    <w:rsid w:val="00300956"/>
    <w:rsid w:val="00317187"/>
    <w:rsid w:val="0032499A"/>
    <w:rsid w:val="003341F7"/>
    <w:rsid w:val="00347FEC"/>
    <w:rsid w:val="003509DF"/>
    <w:rsid w:val="00356F45"/>
    <w:rsid w:val="00366B74"/>
    <w:rsid w:val="003774C0"/>
    <w:rsid w:val="00381F95"/>
    <w:rsid w:val="003A710A"/>
    <w:rsid w:val="003A7E30"/>
    <w:rsid w:val="003B659E"/>
    <w:rsid w:val="003C275E"/>
    <w:rsid w:val="003C4FDE"/>
    <w:rsid w:val="003E58DF"/>
    <w:rsid w:val="00404C4C"/>
    <w:rsid w:val="0041423F"/>
    <w:rsid w:val="00414F81"/>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42D23"/>
    <w:rsid w:val="0054442C"/>
    <w:rsid w:val="00545DC8"/>
    <w:rsid w:val="00550285"/>
    <w:rsid w:val="00562492"/>
    <w:rsid w:val="00564938"/>
    <w:rsid w:val="00570158"/>
    <w:rsid w:val="00572A20"/>
    <w:rsid w:val="00581618"/>
    <w:rsid w:val="005836F8"/>
    <w:rsid w:val="00583984"/>
    <w:rsid w:val="005918FA"/>
    <w:rsid w:val="00592A86"/>
    <w:rsid w:val="005B3029"/>
    <w:rsid w:val="005B4801"/>
    <w:rsid w:val="005C23A4"/>
    <w:rsid w:val="005D1CDF"/>
    <w:rsid w:val="005D2BB7"/>
    <w:rsid w:val="005D6FFE"/>
    <w:rsid w:val="005E0A11"/>
    <w:rsid w:val="005E61A8"/>
    <w:rsid w:val="005F6419"/>
    <w:rsid w:val="0060301D"/>
    <w:rsid w:val="0060543D"/>
    <w:rsid w:val="006104DD"/>
    <w:rsid w:val="006130B5"/>
    <w:rsid w:val="00614DD8"/>
    <w:rsid w:val="00617400"/>
    <w:rsid w:val="00632D29"/>
    <w:rsid w:val="00664950"/>
    <w:rsid w:val="00683220"/>
    <w:rsid w:val="00687FA0"/>
    <w:rsid w:val="006A3C11"/>
    <w:rsid w:val="006B7010"/>
    <w:rsid w:val="006C3095"/>
    <w:rsid w:val="006E1151"/>
    <w:rsid w:val="006E6311"/>
    <w:rsid w:val="007145FF"/>
    <w:rsid w:val="00715B2A"/>
    <w:rsid w:val="00733B21"/>
    <w:rsid w:val="007450F1"/>
    <w:rsid w:val="00751515"/>
    <w:rsid w:val="007626B7"/>
    <w:rsid w:val="00771D2E"/>
    <w:rsid w:val="00780A48"/>
    <w:rsid w:val="0078212B"/>
    <w:rsid w:val="00784DF6"/>
    <w:rsid w:val="00785232"/>
    <w:rsid w:val="007A2588"/>
    <w:rsid w:val="007B186C"/>
    <w:rsid w:val="007C1696"/>
    <w:rsid w:val="007C3ED0"/>
    <w:rsid w:val="007C48C4"/>
    <w:rsid w:val="007C5971"/>
    <w:rsid w:val="007E42DC"/>
    <w:rsid w:val="007F54B9"/>
    <w:rsid w:val="00806A76"/>
    <w:rsid w:val="00811C9D"/>
    <w:rsid w:val="00816C80"/>
    <w:rsid w:val="0081797B"/>
    <w:rsid w:val="0082796A"/>
    <w:rsid w:val="0083707A"/>
    <w:rsid w:val="00841BCD"/>
    <w:rsid w:val="00845F93"/>
    <w:rsid w:val="00847264"/>
    <w:rsid w:val="00851A8E"/>
    <w:rsid w:val="0085365B"/>
    <w:rsid w:val="008826C1"/>
    <w:rsid w:val="00883DFD"/>
    <w:rsid w:val="0089210C"/>
    <w:rsid w:val="00893D2E"/>
    <w:rsid w:val="008A1BF7"/>
    <w:rsid w:val="008A5B0E"/>
    <w:rsid w:val="008B0961"/>
    <w:rsid w:val="008C39F7"/>
    <w:rsid w:val="0090091A"/>
    <w:rsid w:val="0090373B"/>
    <w:rsid w:val="009042BD"/>
    <w:rsid w:val="00904FE4"/>
    <w:rsid w:val="00927740"/>
    <w:rsid w:val="00936159"/>
    <w:rsid w:val="009716BB"/>
    <w:rsid w:val="00977E1D"/>
    <w:rsid w:val="009B0573"/>
    <w:rsid w:val="009B7B4B"/>
    <w:rsid w:val="009B7C21"/>
    <w:rsid w:val="009D4973"/>
    <w:rsid w:val="009E4E6E"/>
    <w:rsid w:val="00A04992"/>
    <w:rsid w:val="00A04CE9"/>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66B7D"/>
    <w:rsid w:val="00B73862"/>
    <w:rsid w:val="00B73F43"/>
    <w:rsid w:val="00B75BBF"/>
    <w:rsid w:val="00B81CDC"/>
    <w:rsid w:val="00B9073A"/>
    <w:rsid w:val="00BA308C"/>
    <w:rsid w:val="00BA6B66"/>
    <w:rsid w:val="00BA6E48"/>
    <w:rsid w:val="00BB62EA"/>
    <w:rsid w:val="00BE0AF6"/>
    <w:rsid w:val="00BE1F03"/>
    <w:rsid w:val="00BE58A7"/>
    <w:rsid w:val="00BF2218"/>
    <w:rsid w:val="00C0426B"/>
    <w:rsid w:val="00C045DF"/>
    <w:rsid w:val="00C26D43"/>
    <w:rsid w:val="00C35173"/>
    <w:rsid w:val="00C46548"/>
    <w:rsid w:val="00C574D5"/>
    <w:rsid w:val="00C73F32"/>
    <w:rsid w:val="00C87462"/>
    <w:rsid w:val="00CA180C"/>
    <w:rsid w:val="00CB22B2"/>
    <w:rsid w:val="00CC3EE2"/>
    <w:rsid w:val="00CD6EF7"/>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42DB"/>
    <w:rsid w:val="00D85728"/>
    <w:rsid w:val="00D95481"/>
    <w:rsid w:val="00DC7A13"/>
    <w:rsid w:val="00DE7064"/>
    <w:rsid w:val="00DF2997"/>
    <w:rsid w:val="00E10BC4"/>
    <w:rsid w:val="00E1415D"/>
    <w:rsid w:val="00E213BD"/>
    <w:rsid w:val="00E323E9"/>
    <w:rsid w:val="00E32FB6"/>
    <w:rsid w:val="00E34018"/>
    <w:rsid w:val="00E42B45"/>
    <w:rsid w:val="00E437D2"/>
    <w:rsid w:val="00E43BF9"/>
    <w:rsid w:val="00E47BC6"/>
    <w:rsid w:val="00E51930"/>
    <w:rsid w:val="00E522D0"/>
    <w:rsid w:val="00E55751"/>
    <w:rsid w:val="00E7398E"/>
    <w:rsid w:val="00E82B94"/>
    <w:rsid w:val="00EA2311"/>
    <w:rsid w:val="00EC7BC3"/>
    <w:rsid w:val="00ED7600"/>
    <w:rsid w:val="00EF6073"/>
    <w:rsid w:val="00EF698B"/>
    <w:rsid w:val="00F1362C"/>
    <w:rsid w:val="00F3573F"/>
    <w:rsid w:val="00F414F1"/>
    <w:rsid w:val="00F508B8"/>
    <w:rsid w:val="00F72CB1"/>
    <w:rsid w:val="00F8215E"/>
    <w:rsid w:val="00F824F5"/>
    <w:rsid w:val="00F90FAB"/>
    <w:rsid w:val="00F9374D"/>
    <w:rsid w:val="00FB6924"/>
    <w:rsid w:val="00FC29B9"/>
    <w:rsid w:val="00FC403F"/>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B5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E3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275A1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A1C"/>
    <w:rPr>
      <w:rFonts w:ascii="Times New Roman" w:hAnsi="Times New Roman"/>
      <w:sz w:val="20"/>
      <w:lang w:val="en-GB"/>
    </w:rPr>
  </w:style>
  <w:style w:type="paragraph" w:styleId="Footer">
    <w:name w:val="footer"/>
    <w:basedOn w:val="Normal"/>
    <w:link w:val="FooterChar"/>
    <w:uiPriority w:val="99"/>
    <w:unhideWhenUsed/>
    <w:rsid w:val="00275A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75A1C"/>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842969">
      <w:bodyDiv w:val="1"/>
      <w:marLeft w:val="0"/>
      <w:marRight w:val="0"/>
      <w:marTop w:val="0"/>
      <w:marBottom w:val="0"/>
      <w:divBdr>
        <w:top w:val="none" w:sz="0" w:space="0" w:color="auto"/>
        <w:left w:val="none" w:sz="0" w:space="0" w:color="auto"/>
        <w:bottom w:val="none" w:sz="0" w:space="0" w:color="auto"/>
        <w:right w:val="none" w:sz="0" w:space="0" w:color="auto"/>
      </w:divBdr>
    </w:div>
    <w:div w:id="348680510">
      <w:bodyDiv w:val="1"/>
      <w:marLeft w:val="0"/>
      <w:marRight w:val="0"/>
      <w:marTop w:val="0"/>
      <w:marBottom w:val="0"/>
      <w:divBdr>
        <w:top w:val="none" w:sz="0" w:space="0" w:color="auto"/>
        <w:left w:val="none" w:sz="0" w:space="0" w:color="auto"/>
        <w:bottom w:val="none" w:sz="0" w:space="0" w:color="auto"/>
        <w:right w:val="none" w:sz="0" w:space="0" w:color="auto"/>
      </w:divBdr>
    </w:div>
    <w:div w:id="452750284">
      <w:bodyDiv w:val="1"/>
      <w:marLeft w:val="0"/>
      <w:marRight w:val="0"/>
      <w:marTop w:val="0"/>
      <w:marBottom w:val="0"/>
      <w:divBdr>
        <w:top w:val="none" w:sz="0" w:space="0" w:color="auto"/>
        <w:left w:val="none" w:sz="0" w:space="0" w:color="auto"/>
        <w:bottom w:val="none" w:sz="0" w:space="0" w:color="auto"/>
        <w:right w:val="none" w:sz="0" w:space="0" w:color="auto"/>
      </w:divBdr>
    </w:div>
    <w:div w:id="474763181">
      <w:bodyDiv w:val="1"/>
      <w:marLeft w:val="0"/>
      <w:marRight w:val="0"/>
      <w:marTop w:val="0"/>
      <w:marBottom w:val="0"/>
      <w:divBdr>
        <w:top w:val="none" w:sz="0" w:space="0" w:color="auto"/>
        <w:left w:val="none" w:sz="0" w:space="0" w:color="auto"/>
        <w:bottom w:val="none" w:sz="0" w:space="0" w:color="auto"/>
        <w:right w:val="none" w:sz="0" w:space="0" w:color="auto"/>
      </w:divBdr>
    </w:div>
    <w:div w:id="812795695">
      <w:bodyDiv w:val="1"/>
      <w:marLeft w:val="0"/>
      <w:marRight w:val="0"/>
      <w:marTop w:val="0"/>
      <w:marBottom w:val="0"/>
      <w:divBdr>
        <w:top w:val="none" w:sz="0" w:space="0" w:color="auto"/>
        <w:left w:val="none" w:sz="0" w:space="0" w:color="auto"/>
        <w:bottom w:val="none" w:sz="0" w:space="0" w:color="auto"/>
        <w:right w:val="none" w:sz="0" w:space="0" w:color="auto"/>
      </w:divBdr>
    </w:div>
    <w:div w:id="1034813786">
      <w:bodyDiv w:val="1"/>
      <w:marLeft w:val="0"/>
      <w:marRight w:val="0"/>
      <w:marTop w:val="0"/>
      <w:marBottom w:val="0"/>
      <w:divBdr>
        <w:top w:val="none" w:sz="0" w:space="0" w:color="auto"/>
        <w:left w:val="none" w:sz="0" w:space="0" w:color="auto"/>
        <w:bottom w:val="none" w:sz="0" w:space="0" w:color="auto"/>
        <w:right w:val="none" w:sz="0" w:space="0" w:color="auto"/>
      </w:divBdr>
    </w:div>
    <w:div w:id="1120031729">
      <w:bodyDiv w:val="1"/>
      <w:marLeft w:val="0"/>
      <w:marRight w:val="0"/>
      <w:marTop w:val="0"/>
      <w:marBottom w:val="0"/>
      <w:divBdr>
        <w:top w:val="none" w:sz="0" w:space="0" w:color="auto"/>
        <w:left w:val="none" w:sz="0" w:space="0" w:color="auto"/>
        <w:bottom w:val="none" w:sz="0" w:space="0" w:color="auto"/>
        <w:right w:val="none" w:sz="0" w:space="0" w:color="auto"/>
      </w:divBdr>
      <w:divsChild>
        <w:div w:id="1879970541">
          <w:marLeft w:val="547"/>
          <w:marRight w:val="0"/>
          <w:marTop w:val="0"/>
          <w:marBottom w:val="0"/>
          <w:divBdr>
            <w:top w:val="none" w:sz="0" w:space="0" w:color="auto"/>
            <w:left w:val="none" w:sz="0" w:space="0" w:color="auto"/>
            <w:bottom w:val="none" w:sz="0" w:space="0" w:color="auto"/>
            <w:right w:val="none" w:sz="0" w:space="0" w:color="auto"/>
          </w:divBdr>
        </w:div>
        <w:div w:id="692221767">
          <w:marLeft w:val="1166"/>
          <w:marRight w:val="0"/>
          <w:marTop w:val="0"/>
          <w:marBottom w:val="0"/>
          <w:divBdr>
            <w:top w:val="none" w:sz="0" w:space="0" w:color="auto"/>
            <w:left w:val="none" w:sz="0" w:space="0" w:color="auto"/>
            <w:bottom w:val="none" w:sz="0" w:space="0" w:color="auto"/>
            <w:right w:val="none" w:sz="0" w:space="0" w:color="auto"/>
          </w:divBdr>
        </w:div>
        <w:div w:id="764377193">
          <w:marLeft w:val="1800"/>
          <w:marRight w:val="0"/>
          <w:marTop w:val="0"/>
          <w:marBottom w:val="0"/>
          <w:divBdr>
            <w:top w:val="none" w:sz="0" w:space="0" w:color="auto"/>
            <w:left w:val="none" w:sz="0" w:space="0" w:color="auto"/>
            <w:bottom w:val="none" w:sz="0" w:space="0" w:color="auto"/>
            <w:right w:val="none" w:sz="0" w:space="0" w:color="auto"/>
          </w:divBdr>
        </w:div>
        <w:div w:id="908271705">
          <w:marLeft w:val="547"/>
          <w:marRight w:val="0"/>
          <w:marTop w:val="0"/>
          <w:marBottom w:val="0"/>
          <w:divBdr>
            <w:top w:val="none" w:sz="0" w:space="0" w:color="auto"/>
            <w:left w:val="none" w:sz="0" w:space="0" w:color="auto"/>
            <w:bottom w:val="none" w:sz="0" w:space="0" w:color="auto"/>
            <w:right w:val="none" w:sz="0" w:space="0" w:color="auto"/>
          </w:divBdr>
        </w:div>
        <w:div w:id="942034760">
          <w:marLeft w:val="547"/>
          <w:marRight w:val="0"/>
          <w:marTop w:val="0"/>
          <w:marBottom w:val="0"/>
          <w:divBdr>
            <w:top w:val="none" w:sz="0" w:space="0" w:color="auto"/>
            <w:left w:val="none" w:sz="0" w:space="0" w:color="auto"/>
            <w:bottom w:val="none" w:sz="0" w:space="0" w:color="auto"/>
            <w:right w:val="none" w:sz="0" w:space="0" w:color="auto"/>
          </w:divBdr>
        </w:div>
        <w:div w:id="1468888226">
          <w:marLeft w:val="821"/>
          <w:marRight w:val="0"/>
          <w:marTop w:val="0"/>
          <w:marBottom w:val="0"/>
          <w:divBdr>
            <w:top w:val="none" w:sz="0" w:space="0" w:color="auto"/>
            <w:left w:val="none" w:sz="0" w:space="0" w:color="auto"/>
            <w:bottom w:val="none" w:sz="0" w:space="0" w:color="auto"/>
            <w:right w:val="none" w:sz="0" w:space="0" w:color="auto"/>
          </w:divBdr>
        </w:div>
        <w:div w:id="451559582">
          <w:marLeft w:val="821"/>
          <w:marRight w:val="0"/>
          <w:marTop w:val="0"/>
          <w:marBottom w:val="0"/>
          <w:divBdr>
            <w:top w:val="none" w:sz="0" w:space="0" w:color="auto"/>
            <w:left w:val="none" w:sz="0" w:space="0" w:color="auto"/>
            <w:bottom w:val="none" w:sz="0" w:space="0" w:color="auto"/>
            <w:right w:val="none" w:sz="0" w:space="0" w:color="auto"/>
          </w:divBdr>
        </w:div>
        <w:div w:id="231039901">
          <w:marLeft w:val="821"/>
          <w:marRight w:val="0"/>
          <w:marTop w:val="0"/>
          <w:marBottom w:val="0"/>
          <w:divBdr>
            <w:top w:val="none" w:sz="0" w:space="0" w:color="auto"/>
            <w:left w:val="none" w:sz="0" w:space="0" w:color="auto"/>
            <w:bottom w:val="none" w:sz="0" w:space="0" w:color="auto"/>
            <w:right w:val="none" w:sz="0" w:space="0" w:color="auto"/>
          </w:divBdr>
        </w:div>
        <w:div w:id="1908031631">
          <w:marLeft w:val="1454"/>
          <w:marRight w:val="0"/>
          <w:marTop w:val="0"/>
          <w:marBottom w:val="0"/>
          <w:divBdr>
            <w:top w:val="none" w:sz="0" w:space="0" w:color="auto"/>
            <w:left w:val="none" w:sz="0" w:space="0" w:color="auto"/>
            <w:bottom w:val="none" w:sz="0" w:space="0" w:color="auto"/>
            <w:right w:val="none" w:sz="0" w:space="0" w:color="auto"/>
          </w:divBdr>
        </w:div>
        <w:div w:id="1472819933">
          <w:marLeft w:val="821"/>
          <w:marRight w:val="0"/>
          <w:marTop w:val="0"/>
          <w:marBottom w:val="0"/>
          <w:divBdr>
            <w:top w:val="none" w:sz="0" w:space="0" w:color="auto"/>
            <w:left w:val="none" w:sz="0" w:space="0" w:color="auto"/>
            <w:bottom w:val="none" w:sz="0" w:space="0" w:color="auto"/>
            <w:right w:val="none" w:sz="0" w:space="0" w:color="auto"/>
          </w:divBdr>
        </w:div>
      </w:divsChild>
    </w:div>
    <w:div w:id="1159032278">
      <w:bodyDiv w:val="1"/>
      <w:marLeft w:val="0"/>
      <w:marRight w:val="0"/>
      <w:marTop w:val="0"/>
      <w:marBottom w:val="0"/>
      <w:divBdr>
        <w:top w:val="none" w:sz="0" w:space="0" w:color="auto"/>
        <w:left w:val="none" w:sz="0" w:space="0" w:color="auto"/>
        <w:bottom w:val="none" w:sz="0" w:space="0" w:color="auto"/>
        <w:right w:val="none" w:sz="0" w:space="0" w:color="auto"/>
      </w:divBdr>
    </w:div>
    <w:div w:id="1305431704">
      <w:bodyDiv w:val="1"/>
      <w:marLeft w:val="0"/>
      <w:marRight w:val="0"/>
      <w:marTop w:val="0"/>
      <w:marBottom w:val="0"/>
      <w:divBdr>
        <w:top w:val="none" w:sz="0" w:space="0" w:color="auto"/>
        <w:left w:val="none" w:sz="0" w:space="0" w:color="auto"/>
        <w:bottom w:val="none" w:sz="0" w:space="0" w:color="auto"/>
        <w:right w:val="none" w:sz="0" w:space="0" w:color="auto"/>
      </w:divBdr>
    </w:div>
    <w:div w:id="1350526081">
      <w:bodyDiv w:val="1"/>
      <w:marLeft w:val="0"/>
      <w:marRight w:val="0"/>
      <w:marTop w:val="0"/>
      <w:marBottom w:val="0"/>
      <w:divBdr>
        <w:top w:val="none" w:sz="0" w:space="0" w:color="auto"/>
        <w:left w:val="none" w:sz="0" w:space="0" w:color="auto"/>
        <w:bottom w:val="none" w:sz="0" w:space="0" w:color="auto"/>
        <w:right w:val="none" w:sz="0" w:space="0" w:color="auto"/>
      </w:divBdr>
    </w:div>
    <w:div w:id="1689678021">
      <w:bodyDiv w:val="1"/>
      <w:marLeft w:val="0"/>
      <w:marRight w:val="0"/>
      <w:marTop w:val="0"/>
      <w:marBottom w:val="0"/>
      <w:divBdr>
        <w:top w:val="none" w:sz="0" w:space="0" w:color="auto"/>
        <w:left w:val="none" w:sz="0" w:space="0" w:color="auto"/>
        <w:bottom w:val="none" w:sz="0" w:space="0" w:color="auto"/>
        <w:right w:val="none" w:sz="0" w:space="0" w:color="auto"/>
      </w:divBdr>
    </w:div>
    <w:div w:id="1790313724">
      <w:bodyDiv w:val="1"/>
      <w:marLeft w:val="0"/>
      <w:marRight w:val="0"/>
      <w:marTop w:val="0"/>
      <w:marBottom w:val="0"/>
      <w:divBdr>
        <w:top w:val="none" w:sz="0" w:space="0" w:color="auto"/>
        <w:left w:val="none" w:sz="0" w:space="0" w:color="auto"/>
        <w:bottom w:val="none" w:sz="0" w:space="0" w:color="auto"/>
        <w:right w:val="none" w:sz="0" w:space="0" w:color="auto"/>
      </w:divBdr>
    </w:div>
    <w:div w:id="1807816727">
      <w:bodyDiv w:val="1"/>
      <w:marLeft w:val="0"/>
      <w:marRight w:val="0"/>
      <w:marTop w:val="0"/>
      <w:marBottom w:val="0"/>
      <w:divBdr>
        <w:top w:val="none" w:sz="0" w:space="0" w:color="auto"/>
        <w:left w:val="none" w:sz="0" w:space="0" w:color="auto"/>
        <w:bottom w:val="none" w:sz="0" w:space="0" w:color="auto"/>
        <w:right w:val="none" w:sz="0" w:space="0" w:color="auto"/>
      </w:divBdr>
    </w:div>
    <w:div w:id="1809470774">
      <w:bodyDiv w:val="1"/>
      <w:marLeft w:val="0"/>
      <w:marRight w:val="0"/>
      <w:marTop w:val="0"/>
      <w:marBottom w:val="0"/>
      <w:divBdr>
        <w:top w:val="none" w:sz="0" w:space="0" w:color="auto"/>
        <w:left w:val="none" w:sz="0" w:space="0" w:color="auto"/>
        <w:bottom w:val="none" w:sz="0" w:space="0" w:color="auto"/>
        <w:right w:val="none" w:sz="0" w:space="0" w:color="auto"/>
      </w:divBdr>
    </w:div>
    <w:div w:id="1993555777">
      <w:bodyDiv w:val="1"/>
      <w:marLeft w:val="0"/>
      <w:marRight w:val="0"/>
      <w:marTop w:val="0"/>
      <w:marBottom w:val="0"/>
      <w:divBdr>
        <w:top w:val="none" w:sz="0" w:space="0" w:color="auto"/>
        <w:left w:val="none" w:sz="0" w:space="0" w:color="auto"/>
        <w:bottom w:val="none" w:sz="0" w:space="0" w:color="auto"/>
        <w:right w:val="none" w:sz="0" w:space="0" w:color="auto"/>
      </w:divBdr>
    </w:div>
    <w:div w:id="2026246169">
      <w:bodyDiv w:val="1"/>
      <w:marLeft w:val="0"/>
      <w:marRight w:val="0"/>
      <w:marTop w:val="0"/>
      <w:marBottom w:val="0"/>
      <w:divBdr>
        <w:top w:val="none" w:sz="0" w:space="0" w:color="auto"/>
        <w:left w:val="none" w:sz="0" w:space="0" w:color="auto"/>
        <w:bottom w:val="none" w:sz="0" w:space="0" w:color="auto"/>
        <w:right w:val="none" w:sz="0" w:space="0" w:color="auto"/>
      </w:divBdr>
    </w:div>
    <w:div w:id="2034379246">
      <w:bodyDiv w:val="1"/>
      <w:marLeft w:val="0"/>
      <w:marRight w:val="0"/>
      <w:marTop w:val="0"/>
      <w:marBottom w:val="0"/>
      <w:divBdr>
        <w:top w:val="none" w:sz="0" w:space="0" w:color="auto"/>
        <w:left w:val="none" w:sz="0" w:space="0" w:color="auto"/>
        <w:bottom w:val="none" w:sz="0" w:space="0" w:color="auto"/>
        <w:right w:val="none" w:sz="0" w:space="0" w:color="auto"/>
      </w:divBdr>
    </w:div>
    <w:div w:id="205411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2364</Words>
  <Characters>13477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2024-10-07T12:27:00Z</dcterms:created>
  <dcterms:modified xsi:type="dcterms:W3CDTF">2024-10-07T12:27:00Z</dcterms:modified>
</cp:coreProperties>
</file>